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BC9D" w14:textId="77777777" w:rsidR="00A25996" w:rsidRPr="00AC6EFD" w:rsidRDefault="00A25996" w:rsidP="000C1FA6">
      <w:pPr>
        <w:pStyle w:val="Figure"/>
      </w:pPr>
    </w:p>
    <w:p w14:paraId="6CD97EF1" w14:textId="77777777" w:rsidR="00A25996" w:rsidRDefault="00A25996" w:rsidP="003225AE">
      <w:pPr>
        <w:pStyle w:val="ProjectName"/>
        <w:spacing w:before="120" w:line="360" w:lineRule="auto"/>
        <w:rPr>
          <w:rFonts w:eastAsia="HP Simplified" w:cs="HP Simplified"/>
          <w:szCs w:val="52"/>
        </w:rPr>
      </w:pPr>
    </w:p>
    <w:p w14:paraId="6EE7CE52" w14:textId="77777777" w:rsidR="00A25996" w:rsidRDefault="00A25996" w:rsidP="003225AE">
      <w:pPr>
        <w:pStyle w:val="ProjectName"/>
        <w:spacing w:before="120" w:line="360" w:lineRule="auto"/>
        <w:rPr>
          <w:rFonts w:eastAsia="HP Simplified" w:cs="HP Simplified"/>
          <w:szCs w:val="52"/>
        </w:rPr>
      </w:pPr>
    </w:p>
    <w:p w14:paraId="4DE32563" w14:textId="77F36BE2" w:rsidR="00A25996" w:rsidRPr="008717EF" w:rsidRDefault="00D44A87" w:rsidP="003225AE">
      <w:pPr>
        <w:pStyle w:val="ProjectName"/>
        <w:spacing w:before="120" w:line="360" w:lineRule="auto"/>
        <w:jc w:val="center"/>
        <w:rPr>
          <w:rFonts w:eastAsia="HP Simplified" w:cs="HP Simplified"/>
          <w:szCs w:val="52"/>
        </w:rPr>
      </w:pPr>
      <w:r w:rsidRPr="008717EF">
        <w:rPr>
          <w:rFonts w:eastAsia="HP Simplified" w:cs="HP Simplified"/>
          <w:szCs w:val="52"/>
        </w:rPr>
        <w:t>PCMH Program Policy Addendum</w:t>
      </w:r>
    </w:p>
    <w:p w14:paraId="1E1E1BB6" w14:textId="77777777" w:rsidR="00A25996" w:rsidRPr="008717EF" w:rsidRDefault="00A25996" w:rsidP="003225AE">
      <w:pPr>
        <w:pStyle w:val="ProjectName"/>
        <w:spacing w:before="120" w:line="360" w:lineRule="auto"/>
        <w:jc w:val="center"/>
        <w:rPr>
          <w:rFonts w:eastAsia="HP Simplified" w:cs="HP Simplified"/>
          <w:szCs w:val="52"/>
        </w:rPr>
      </w:pPr>
    </w:p>
    <w:p w14:paraId="0419D94E" w14:textId="46AC7D04" w:rsidR="00A25996" w:rsidRPr="008717EF" w:rsidRDefault="00EB4A9A" w:rsidP="003225AE">
      <w:pPr>
        <w:pStyle w:val="ProjectName"/>
        <w:spacing w:before="120" w:line="360" w:lineRule="auto"/>
        <w:jc w:val="center"/>
        <w:rPr>
          <w:rFonts w:eastAsia="HP Simplified" w:cs="HP Simplified"/>
          <w:szCs w:val="52"/>
        </w:rPr>
      </w:pPr>
      <w:r w:rsidRPr="008717EF">
        <w:rPr>
          <w:rFonts w:eastAsia="HP Simplified" w:cs="HP Simplified"/>
          <w:szCs w:val="52"/>
        </w:rPr>
        <w:t>2023</w:t>
      </w:r>
    </w:p>
    <w:p w14:paraId="6EB2440C" w14:textId="77777777" w:rsidR="00A25996" w:rsidRPr="008717EF" w:rsidRDefault="00A25996" w:rsidP="003225AE">
      <w:pPr>
        <w:spacing w:line="360" w:lineRule="auto"/>
      </w:pPr>
    </w:p>
    <w:p w14:paraId="47E981D6" w14:textId="77777777" w:rsidR="00A25996" w:rsidRPr="008717EF" w:rsidRDefault="00A25996" w:rsidP="003225AE">
      <w:pPr>
        <w:spacing w:line="360" w:lineRule="auto"/>
      </w:pPr>
    </w:p>
    <w:p w14:paraId="6426C3C9" w14:textId="77777777" w:rsidR="00A25996" w:rsidRPr="008717EF" w:rsidRDefault="00A25996" w:rsidP="003225AE">
      <w:pPr>
        <w:spacing w:line="360" w:lineRule="auto"/>
      </w:pPr>
    </w:p>
    <w:p w14:paraId="3E31D614" w14:textId="77777777" w:rsidR="00A25996" w:rsidRPr="008717EF" w:rsidRDefault="00A25996" w:rsidP="003225AE">
      <w:pPr>
        <w:spacing w:line="360" w:lineRule="auto"/>
      </w:pPr>
    </w:p>
    <w:p w14:paraId="18EE91DD" w14:textId="77777777" w:rsidR="00A25996" w:rsidRPr="008717EF" w:rsidRDefault="00A25996" w:rsidP="003225AE">
      <w:pPr>
        <w:spacing w:line="360" w:lineRule="auto"/>
      </w:pPr>
    </w:p>
    <w:p w14:paraId="135E8189" w14:textId="77777777" w:rsidR="00A25996" w:rsidRPr="008717EF" w:rsidRDefault="00A25996" w:rsidP="003225AE">
      <w:pPr>
        <w:spacing w:line="360" w:lineRule="auto"/>
      </w:pPr>
    </w:p>
    <w:p w14:paraId="2B9C2BBA" w14:textId="77777777" w:rsidR="00A25996" w:rsidRPr="008717EF" w:rsidRDefault="00A25996" w:rsidP="003225AE">
      <w:pPr>
        <w:spacing w:line="360" w:lineRule="auto"/>
      </w:pPr>
    </w:p>
    <w:p w14:paraId="214658F0" w14:textId="77777777" w:rsidR="00A25996" w:rsidRPr="008717EF" w:rsidRDefault="00A25996" w:rsidP="003225AE">
      <w:pPr>
        <w:spacing w:line="360" w:lineRule="auto"/>
      </w:pPr>
    </w:p>
    <w:p w14:paraId="22CEA4EA" w14:textId="77777777" w:rsidR="00A25996" w:rsidRPr="008717EF" w:rsidRDefault="00A25996" w:rsidP="003225AE">
      <w:pPr>
        <w:pStyle w:val="Filename"/>
        <w:spacing w:line="360" w:lineRule="auto"/>
        <w:jc w:val="center"/>
      </w:pPr>
      <w:r w:rsidRPr="008717EF">
        <w:t>Arkansas Medicaid</w:t>
      </w:r>
    </w:p>
    <w:p w14:paraId="6C99618C" w14:textId="77777777" w:rsidR="00A25996" w:rsidRPr="008717EF" w:rsidRDefault="00A25996" w:rsidP="003225AE">
      <w:pPr>
        <w:pStyle w:val="Filename"/>
        <w:spacing w:line="360" w:lineRule="auto"/>
        <w:jc w:val="center"/>
      </w:pPr>
      <w:r w:rsidRPr="008717EF">
        <w:t>Arkansas Department of Human Services</w:t>
      </w:r>
    </w:p>
    <w:p w14:paraId="53402F12" w14:textId="77777777" w:rsidR="00A25996" w:rsidRPr="008717EF" w:rsidRDefault="00A25996" w:rsidP="003225AE">
      <w:pPr>
        <w:pStyle w:val="Filename"/>
        <w:spacing w:line="360" w:lineRule="auto"/>
        <w:jc w:val="center"/>
      </w:pPr>
      <w:r w:rsidRPr="008717EF">
        <w:t>Division of Medical Services</w:t>
      </w:r>
    </w:p>
    <w:p w14:paraId="605A9F14" w14:textId="77777777" w:rsidR="00A25996" w:rsidRPr="008717EF" w:rsidRDefault="00A25996" w:rsidP="003225AE">
      <w:pPr>
        <w:pStyle w:val="Version"/>
        <w:spacing w:line="360" w:lineRule="auto"/>
      </w:pPr>
    </w:p>
    <w:p w14:paraId="62C1F707" w14:textId="77777777" w:rsidR="00A25996" w:rsidRPr="008717EF" w:rsidRDefault="00A25996" w:rsidP="003225AE">
      <w:pPr>
        <w:pStyle w:val="Version"/>
        <w:spacing w:line="360" w:lineRule="auto"/>
      </w:pPr>
    </w:p>
    <w:p w14:paraId="462EA8CD" w14:textId="01ECCABF" w:rsidR="00A25996" w:rsidRPr="008717EF" w:rsidRDefault="00A25996" w:rsidP="003225AE">
      <w:pPr>
        <w:pStyle w:val="Version"/>
        <w:spacing w:line="360" w:lineRule="auto"/>
      </w:pPr>
    </w:p>
    <w:p w14:paraId="070E9179" w14:textId="77777777" w:rsidR="00A25996" w:rsidRPr="008717EF" w:rsidRDefault="00A25996" w:rsidP="003225AE">
      <w:pPr>
        <w:spacing w:line="360" w:lineRule="auto"/>
      </w:pPr>
    </w:p>
    <w:p w14:paraId="54EF8FFE" w14:textId="77777777" w:rsidR="00A25996" w:rsidRPr="008717EF" w:rsidRDefault="00A25996" w:rsidP="003225AE">
      <w:pPr>
        <w:spacing w:line="360" w:lineRule="auto"/>
      </w:pPr>
    </w:p>
    <w:p w14:paraId="0573F698" w14:textId="77777777" w:rsidR="00A25996" w:rsidRPr="008717EF" w:rsidRDefault="00A25996" w:rsidP="003225AE">
      <w:pPr>
        <w:spacing w:line="360" w:lineRule="auto"/>
        <w:sectPr w:rsidR="00A25996" w:rsidRPr="008717EF" w:rsidSect="00A25996">
          <w:headerReference w:type="default" r:id="rId12"/>
          <w:footerReference w:type="first" r:id="rId13"/>
          <w:pgSz w:w="12240" w:h="15840"/>
          <w:pgMar w:top="1440" w:right="1440" w:bottom="1440" w:left="1440" w:header="720" w:footer="720" w:gutter="0"/>
          <w:pgNumType w:start="1"/>
          <w:cols w:space="720"/>
          <w:docGrid w:linePitch="360"/>
        </w:sectPr>
      </w:pPr>
    </w:p>
    <w:p w14:paraId="4CC7C73C" w14:textId="77777777" w:rsidR="00A25996" w:rsidRPr="008717EF" w:rsidRDefault="00A25996" w:rsidP="003225AE">
      <w:pPr>
        <w:pStyle w:val="Heading1"/>
        <w:spacing w:before="120" w:line="360" w:lineRule="auto"/>
      </w:pPr>
      <w:bookmarkStart w:id="0" w:name="_Toc113888447"/>
      <w:bookmarkStart w:id="1" w:name="_Toc360458275"/>
      <w:bookmarkStart w:id="2" w:name="_Toc219107553"/>
      <w:bookmarkStart w:id="3" w:name="_Toc219182734"/>
      <w:bookmarkStart w:id="4" w:name="_Toc219184986"/>
      <w:bookmarkStart w:id="5" w:name="_Toc223860994"/>
      <w:bookmarkStart w:id="6" w:name="_Toc226426313"/>
      <w:bookmarkStart w:id="7" w:name="_Toc230500484"/>
      <w:bookmarkStart w:id="8" w:name="_Toc231202984"/>
      <w:r w:rsidRPr="008717EF">
        <w:lastRenderedPageBreak/>
        <w:t>Change History</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795"/>
      </w:tblGrid>
      <w:tr w:rsidR="00F00FE4" w:rsidRPr="008717EF" w14:paraId="4B6E4477" w14:textId="77777777" w:rsidTr="00F00FE4">
        <w:trPr>
          <w:cantSplit/>
          <w:tblHeader/>
        </w:trPr>
        <w:tc>
          <w:tcPr>
            <w:tcW w:w="4040" w:type="pct"/>
            <w:tcBorders>
              <w:top w:val="single" w:sz="4" w:space="0" w:color="auto"/>
              <w:left w:val="single" w:sz="4" w:space="0" w:color="auto"/>
              <w:bottom w:val="single" w:sz="4" w:space="0" w:color="auto"/>
              <w:right w:val="single" w:sz="4" w:space="0" w:color="auto"/>
            </w:tcBorders>
            <w:shd w:val="clear" w:color="auto" w:fill="002060"/>
            <w:hideMark/>
          </w:tcPr>
          <w:bookmarkEnd w:id="1"/>
          <w:p w14:paraId="7270BA1B" w14:textId="420584F8" w:rsidR="00F00FE4" w:rsidRPr="008717EF" w:rsidRDefault="00F00FE4" w:rsidP="003225AE">
            <w:pPr>
              <w:pStyle w:val="TableHeading"/>
              <w:spacing w:before="120" w:after="120" w:line="360" w:lineRule="auto"/>
              <w:ind w:left="-125" w:right="-36"/>
            </w:pPr>
            <w:r w:rsidRPr="008717EF">
              <w:t>Description of Change</w:t>
            </w:r>
          </w:p>
        </w:tc>
        <w:tc>
          <w:tcPr>
            <w:tcW w:w="960" w:type="pct"/>
            <w:tcBorders>
              <w:top w:val="single" w:sz="4" w:space="0" w:color="auto"/>
              <w:left w:val="single" w:sz="4" w:space="0" w:color="auto"/>
              <w:bottom w:val="single" w:sz="4" w:space="0" w:color="auto"/>
              <w:right w:val="single" w:sz="4" w:space="0" w:color="auto"/>
            </w:tcBorders>
            <w:shd w:val="clear" w:color="auto" w:fill="002060"/>
            <w:hideMark/>
          </w:tcPr>
          <w:p w14:paraId="4E87D11E" w14:textId="7C6C5918" w:rsidR="00F00FE4" w:rsidRPr="008717EF" w:rsidRDefault="00F00FE4" w:rsidP="003225AE">
            <w:pPr>
              <w:pStyle w:val="TableHeading"/>
              <w:spacing w:before="120" w:after="120" w:line="360" w:lineRule="auto"/>
            </w:pPr>
            <w:r w:rsidRPr="008717EF">
              <w:t>Date of Change</w:t>
            </w:r>
          </w:p>
        </w:tc>
      </w:tr>
      <w:tr w:rsidR="00F00F52" w:rsidRPr="008717EF" w14:paraId="55431641" w14:textId="77777777" w:rsidTr="00F00FE4">
        <w:trPr>
          <w:cantSplit/>
        </w:trPr>
        <w:tc>
          <w:tcPr>
            <w:tcW w:w="4040" w:type="pct"/>
            <w:tcBorders>
              <w:top w:val="single" w:sz="4" w:space="0" w:color="auto"/>
              <w:left w:val="single" w:sz="4" w:space="0" w:color="auto"/>
              <w:bottom w:val="single" w:sz="4" w:space="0" w:color="auto"/>
              <w:right w:val="single" w:sz="4" w:space="0" w:color="auto"/>
            </w:tcBorders>
          </w:tcPr>
          <w:p w14:paraId="0476A288" w14:textId="3EAFDBC7" w:rsidR="00F00F52" w:rsidRPr="008717EF" w:rsidRDefault="00F00F52" w:rsidP="00DB29A6">
            <w:pPr>
              <w:pStyle w:val="TableText"/>
            </w:pPr>
          </w:p>
        </w:tc>
        <w:tc>
          <w:tcPr>
            <w:tcW w:w="960" w:type="pct"/>
            <w:tcBorders>
              <w:top w:val="single" w:sz="4" w:space="0" w:color="auto"/>
              <w:left w:val="single" w:sz="4" w:space="0" w:color="auto"/>
              <w:bottom w:val="single" w:sz="4" w:space="0" w:color="auto"/>
              <w:right w:val="single" w:sz="4" w:space="0" w:color="auto"/>
            </w:tcBorders>
          </w:tcPr>
          <w:p w14:paraId="5645F7DF" w14:textId="1DD315DF" w:rsidR="00F00F52" w:rsidRPr="008717EF" w:rsidRDefault="00F00F52" w:rsidP="00DB29A6">
            <w:pPr>
              <w:pStyle w:val="TableText"/>
            </w:pPr>
          </w:p>
        </w:tc>
      </w:tr>
      <w:tr w:rsidR="009E3522" w:rsidRPr="008717EF" w14:paraId="40D4D8BB" w14:textId="77777777" w:rsidTr="00F00FE4">
        <w:trPr>
          <w:cantSplit/>
        </w:trPr>
        <w:tc>
          <w:tcPr>
            <w:tcW w:w="4040" w:type="pct"/>
            <w:tcBorders>
              <w:top w:val="single" w:sz="4" w:space="0" w:color="auto"/>
              <w:left w:val="single" w:sz="4" w:space="0" w:color="auto"/>
              <w:bottom w:val="single" w:sz="4" w:space="0" w:color="auto"/>
              <w:right w:val="single" w:sz="4" w:space="0" w:color="auto"/>
            </w:tcBorders>
          </w:tcPr>
          <w:p w14:paraId="5617027E" w14:textId="45FAD0A5" w:rsidR="009E3522" w:rsidRPr="008717EF" w:rsidRDefault="009E3522" w:rsidP="00DB29A6">
            <w:pPr>
              <w:pStyle w:val="TableText"/>
            </w:pPr>
          </w:p>
        </w:tc>
        <w:tc>
          <w:tcPr>
            <w:tcW w:w="960" w:type="pct"/>
            <w:tcBorders>
              <w:top w:val="single" w:sz="4" w:space="0" w:color="auto"/>
              <w:left w:val="single" w:sz="4" w:space="0" w:color="auto"/>
              <w:bottom w:val="single" w:sz="4" w:space="0" w:color="auto"/>
              <w:right w:val="single" w:sz="4" w:space="0" w:color="auto"/>
            </w:tcBorders>
          </w:tcPr>
          <w:p w14:paraId="4BC788B8" w14:textId="5B53E7FB" w:rsidR="009E3522" w:rsidRPr="008717EF" w:rsidRDefault="009E3522" w:rsidP="00DB29A6">
            <w:pPr>
              <w:pStyle w:val="TableText"/>
            </w:pPr>
          </w:p>
        </w:tc>
      </w:tr>
    </w:tbl>
    <w:p w14:paraId="4D11A527" w14:textId="77777777" w:rsidR="00A25996" w:rsidRPr="008717EF" w:rsidRDefault="00A25996" w:rsidP="003225AE">
      <w:pPr>
        <w:spacing w:line="360" w:lineRule="auto"/>
      </w:pPr>
      <w:r w:rsidRPr="008717EF">
        <w:br w:type="page"/>
      </w:r>
      <w:bookmarkEnd w:id="2"/>
      <w:bookmarkEnd w:id="3"/>
      <w:bookmarkEnd w:id="4"/>
      <w:bookmarkEnd w:id="5"/>
      <w:bookmarkEnd w:id="6"/>
      <w:bookmarkEnd w:id="7"/>
      <w:bookmarkEnd w:id="8"/>
    </w:p>
    <w:p w14:paraId="38F99D17" w14:textId="77777777" w:rsidR="00A25996" w:rsidRPr="008717EF" w:rsidRDefault="00A25996" w:rsidP="003225AE">
      <w:pPr>
        <w:pStyle w:val="Heading1"/>
        <w:spacing w:before="120" w:line="360" w:lineRule="auto"/>
      </w:pPr>
      <w:bookmarkStart w:id="9" w:name="_Table_of_Contents"/>
      <w:bookmarkStart w:id="10" w:name="_Toc113888448"/>
      <w:bookmarkEnd w:id="9"/>
      <w:r w:rsidRPr="008717EF">
        <w:lastRenderedPageBreak/>
        <w:t>Table of Contents</w:t>
      </w:r>
      <w:bookmarkEnd w:id="10"/>
    </w:p>
    <w:sdt>
      <w:sdtPr>
        <w:rPr>
          <w:rFonts w:asciiTheme="minorHAnsi" w:hAnsiTheme="minorHAnsi"/>
          <w:szCs w:val="20"/>
        </w:rPr>
        <w:id w:val="154886220"/>
        <w:docPartObj>
          <w:docPartGallery w:val="Table of Contents"/>
          <w:docPartUnique/>
        </w:docPartObj>
      </w:sdtPr>
      <w:sdtEndPr>
        <w:rPr>
          <w:noProof/>
        </w:rPr>
      </w:sdtEndPr>
      <w:sdtContent>
        <w:p w14:paraId="5B0C3F9D" w14:textId="77777777" w:rsidR="00A25996" w:rsidRPr="008717EF" w:rsidRDefault="00A25996" w:rsidP="003225AE">
          <w:pPr>
            <w:spacing w:line="360" w:lineRule="auto"/>
          </w:pPr>
        </w:p>
        <w:p w14:paraId="64849F4D" w14:textId="4A499F15" w:rsidR="00F03E3F" w:rsidRDefault="004B3490">
          <w:pPr>
            <w:pStyle w:val="TOC1"/>
            <w:rPr>
              <w:rFonts w:eastAsiaTheme="minorEastAsia" w:cstheme="minorBidi"/>
              <w:b w:val="0"/>
              <w:bCs w:val="0"/>
              <w:noProof/>
              <w:sz w:val="22"/>
              <w:szCs w:val="22"/>
            </w:rPr>
          </w:pPr>
          <w:r w:rsidRPr="008717EF">
            <w:fldChar w:fldCharType="begin"/>
          </w:r>
          <w:r w:rsidRPr="008717EF">
            <w:instrText xml:space="preserve"> TOC \o "1-4" \h \z \u </w:instrText>
          </w:r>
          <w:r w:rsidRPr="008717EF">
            <w:fldChar w:fldCharType="separate"/>
          </w:r>
          <w:hyperlink w:anchor="_Toc113888447" w:history="1">
            <w:r w:rsidR="00F03E3F" w:rsidRPr="00B54445">
              <w:rPr>
                <w:rStyle w:val="Hyperlink"/>
                <w:noProof/>
              </w:rPr>
              <w:t>Change History</w:t>
            </w:r>
            <w:r w:rsidR="00F03E3F">
              <w:rPr>
                <w:noProof/>
                <w:webHidden/>
              </w:rPr>
              <w:tab/>
            </w:r>
            <w:r w:rsidR="00F03E3F">
              <w:rPr>
                <w:noProof/>
                <w:webHidden/>
              </w:rPr>
              <w:fldChar w:fldCharType="begin"/>
            </w:r>
            <w:r w:rsidR="00F03E3F">
              <w:rPr>
                <w:noProof/>
                <w:webHidden/>
              </w:rPr>
              <w:instrText xml:space="preserve"> PAGEREF _Toc113888447 \h </w:instrText>
            </w:r>
            <w:r w:rsidR="00F03E3F">
              <w:rPr>
                <w:noProof/>
                <w:webHidden/>
              </w:rPr>
            </w:r>
            <w:r w:rsidR="00F03E3F">
              <w:rPr>
                <w:noProof/>
                <w:webHidden/>
              </w:rPr>
              <w:fldChar w:fldCharType="separate"/>
            </w:r>
            <w:r w:rsidR="008008F3">
              <w:rPr>
                <w:noProof/>
                <w:webHidden/>
              </w:rPr>
              <w:t>i</w:t>
            </w:r>
            <w:r w:rsidR="00F03E3F">
              <w:rPr>
                <w:noProof/>
                <w:webHidden/>
              </w:rPr>
              <w:fldChar w:fldCharType="end"/>
            </w:r>
          </w:hyperlink>
        </w:p>
        <w:p w14:paraId="4EE03606" w14:textId="235467BF" w:rsidR="00F03E3F" w:rsidRDefault="00593366">
          <w:pPr>
            <w:pStyle w:val="TOC1"/>
            <w:rPr>
              <w:rFonts w:eastAsiaTheme="minorEastAsia" w:cstheme="minorBidi"/>
              <w:b w:val="0"/>
              <w:bCs w:val="0"/>
              <w:noProof/>
              <w:sz w:val="22"/>
              <w:szCs w:val="22"/>
            </w:rPr>
          </w:pPr>
          <w:hyperlink w:anchor="_Toc113888448" w:history="1">
            <w:r w:rsidR="00F03E3F" w:rsidRPr="00B54445">
              <w:rPr>
                <w:rStyle w:val="Hyperlink"/>
                <w:noProof/>
              </w:rPr>
              <w:t>Table of Contents</w:t>
            </w:r>
            <w:r w:rsidR="00F03E3F">
              <w:rPr>
                <w:noProof/>
                <w:webHidden/>
              </w:rPr>
              <w:tab/>
            </w:r>
            <w:r w:rsidR="00F03E3F">
              <w:rPr>
                <w:noProof/>
                <w:webHidden/>
              </w:rPr>
              <w:fldChar w:fldCharType="begin"/>
            </w:r>
            <w:r w:rsidR="00F03E3F">
              <w:rPr>
                <w:noProof/>
                <w:webHidden/>
              </w:rPr>
              <w:instrText xml:space="preserve"> PAGEREF _Toc113888448 \h </w:instrText>
            </w:r>
            <w:r w:rsidR="00F03E3F">
              <w:rPr>
                <w:noProof/>
                <w:webHidden/>
              </w:rPr>
            </w:r>
            <w:r w:rsidR="00F03E3F">
              <w:rPr>
                <w:noProof/>
                <w:webHidden/>
              </w:rPr>
              <w:fldChar w:fldCharType="separate"/>
            </w:r>
            <w:r w:rsidR="008008F3">
              <w:rPr>
                <w:noProof/>
                <w:webHidden/>
              </w:rPr>
              <w:t>ii</w:t>
            </w:r>
            <w:r w:rsidR="00F03E3F">
              <w:rPr>
                <w:noProof/>
                <w:webHidden/>
              </w:rPr>
              <w:fldChar w:fldCharType="end"/>
            </w:r>
          </w:hyperlink>
        </w:p>
        <w:p w14:paraId="0A8550FC" w14:textId="0E3118B7" w:rsidR="00F03E3F" w:rsidRDefault="00593366">
          <w:pPr>
            <w:pStyle w:val="TOC1"/>
            <w:rPr>
              <w:rFonts w:eastAsiaTheme="minorEastAsia" w:cstheme="minorBidi"/>
              <w:b w:val="0"/>
              <w:bCs w:val="0"/>
              <w:noProof/>
              <w:sz w:val="22"/>
              <w:szCs w:val="22"/>
            </w:rPr>
          </w:pPr>
          <w:hyperlink w:anchor="_Toc113888449" w:history="1">
            <w:r w:rsidR="00F03E3F" w:rsidRPr="00B54445">
              <w:rPr>
                <w:rStyle w:val="Hyperlink"/>
                <w:noProof/>
              </w:rPr>
              <w:t>223.000</w:t>
            </w:r>
            <w:r w:rsidR="00F03E3F">
              <w:rPr>
                <w:rFonts w:eastAsiaTheme="minorEastAsia" w:cstheme="minorBidi"/>
                <w:b w:val="0"/>
                <w:bCs w:val="0"/>
                <w:noProof/>
                <w:sz w:val="22"/>
                <w:szCs w:val="22"/>
              </w:rPr>
              <w:tab/>
            </w:r>
            <w:r w:rsidR="00F03E3F" w:rsidRPr="00B54445">
              <w:rPr>
                <w:rStyle w:val="Hyperlink"/>
                <w:noProof/>
              </w:rPr>
              <w:t>Explanation of Care Coordination Payments</w:t>
            </w:r>
            <w:r w:rsidR="00F03E3F">
              <w:rPr>
                <w:noProof/>
                <w:webHidden/>
              </w:rPr>
              <w:tab/>
            </w:r>
            <w:r w:rsidR="00F03E3F">
              <w:rPr>
                <w:noProof/>
                <w:webHidden/>
              </w:rPr>
              <w:fldChar w:fldCharType="begin"/>
            </w:r>
            <w:r w:rsidR="00F03E3F">
              <w:rPr>
                <w:noProof/>
                <w:webHidden/>
              </w:rPr>
              <w:instrText xml:space="preserve"> PAGEREF _Toc113888449 \h </w:instrText>
            </w:r>
            <w:r w:rsidR="00F03E3F">
              <w:rPr>
                <w:noProof/>
                <w:webHidden/>
              </w:rPr>
            </w:r>
            <w:r w:rsidR="00F03E3F">
              <w:rPr>
                <w:noProof/>
                <w:webHidden/>
              </w:rPr>
              <w:fldChar w:fldCharType="separate"/>
            </w:r>
            <w:r w:rsidR="008008F3">
              <w:rPr>
                <w:noProof/>
                <w:webHidden/>
              </w:rPr>
              <w:t>1</w:t>
            </w:r>
            <w:r w:rsidR="00F03E3F">
              <w:rPr>
                <w:noProof/>
                <w:webHidden/>
              </w:rPr>
              <w:fldChar w:fldCharType="end"/>
            </w:r>
          </w:hyperlink>
        </w:p>
        <w:p w14:paraId="37808DFE" w14:textId="1F665930" w:rsidR="00F03E3F" w:rsidRDefault="00593366">
          <w:pPr>
            <w:pStyle w:val="TOC2"/>
            <w:tabs>
              <w:tab w:val="right" w:leader="dot" w:pos="9350"/>
            </w:tabs>
            <w:rPr>
              <w:rFonts w:eastAsiaTheme="minorEastAsia" w:cstheme="minorBidi"/>
              <w:i w:val="0"/>
              <w:iCs w:val="0"/>
              <w:noProof/>
              <w:sz w:val="22"/>
              <w:szCs w:val="22"/>
            </w:rPr>
          </w:pPr>
          <w:hyperlink w:anchor="_Toc113888450" w:history="1">
            <w:r w:rsidR="00F03E3F" w:rsidRPr="00B54445">
              <w:rPr>
                <w:rStyle w:val="Hyperlink"/>
                <w:noProof/>
              </w:rPr>
              <w:t>Determination of Beneficiary Risk</w:t>
            </w:r>
            <w:r w:rsidR="00F03E3F">
              <w:rPr>
                <w:noProof/>
                <w:webHidden/>
              </w:rPr>
              <w:tab/>
            </w:r>
            <w:r w:rsidR="00F03E3F">
              <w:rPr>
                <w:noProof/>
                <w:webHidden/>
              </w:rPr>
              <w:fldChar w:fldCharType="begin"/>
            </w:r>
            <w:r w:rsidR="00F03E3F">
              <w:rPr>
                <w:noProof/>
                <w:webHidden/>
              </w:rPr>
              <w:instrText xml:space="preserve"> PAGEREF _Toc113888450 \h </w:instrText>
            </w:r>
            <w:r w:rsidR="00F03E3F">
              <w:rPr>
                <w:noProof/>
                <w:webHidden/>
              </w:rPr>
            </w:r>
            <w:r w:rsidR="00F03E3F">
              <w:rPr>
                <w:noProof/>
                <w:webHidden/>
              </w:rPr>
              <w:fldChar w:fldCharType="separate"/>
            </w:r>
            <w:r w:rsidR="008008F3">
              <w:rPr>
                <w:noProof/>
                <w:webHidden/>
              </w:rPr>
              <w:t>1</w:t>
            </w:r>
            <w:r w:rsidR="00F03E3F">
              <w:rPr>
                <w:noProof/>
                <w:webHidden/>
              </w:rPr>
              <w:fldChar w:fldCharType="end"/>
            </w:r>
          </w:hyperlink>
        </w:p>
        <w:p w14:paraId="59D416D3" w14:textId="68710655" w:rsidR="00F03E3F" w:rsidRDefault="00593366">
          <w:pPr>
            <w:pStyle w:val="TOC2"/>
            <w:tabs>
              <w:tab w:val="right" w:leader="dot" w:pos="9350"/>
            </w:tabs>
            <w:rPr>
              <w:rFonts w:eastAsiaTheme="minorEastAsia" w:cstheme="minorBidi"/>
              <w:i w:val="0"/>
              <w:iCs w:val="0"/>
              <w:noProof/>
              <w:sz w:val="22"/>
              <w:szCs w:val="22"/>
            </w:rPr>
          </w:pPr>
          <w:hyperlink w:anchor="_Toc113888451" w:history="1">
            <w:r w:rsidR="00F03E3F" w:rsidRPr="00B54445">
              <w:rPr>
                <w:rStyle w:val="Hyperlink"/>
                <w:noProof/>
              </w:rPr>
              <w:t>Per Beneficiary Per Month (PBPM) Amounts</w:t>
            </w:r>
            <w:r w:rsidR="00F03E3F">
              <w:rPr>
                <w:noProof/>
                <w:webHidden/>
              </w:rPr>
              <w:tab/>
            </w:r>
            <w:r w:rsidR="00F03E3F">
              <w:rPr>
                <w:noProof/>
                <w:webHidden/>
              </w:rPr>
              <w:fldChar w:fldCharType="begin"/>
            </w:r>
            <w:r w:rsidR="00F03E3F">
              <w:rPr>
                <w:noProof/>
                <w:webHidden/>
              </w:rPr>
              <w:instrText xml:space="preserve"> PAGEREF _Toc113888451 \h </w:instrText>
            </w:r>
            <w:r w:rsidR="00F03E3F">
              <w:rPr>
                <w:noProof/>
                <w:webHidden/>
              </w:rPr>
            </w:r>
            <w:r w:rsidR="00F03E3F">
              <w:rPr>
                <w:noProof/>
                <w:webHidden/>
              </w:rPr>
              <w:fldChar w:fldCharType="separate"/>
            </w:r>
            <w:r w:rsidR="008008F3">
              <w:rPr>
                <w:noProof/>
                <w:webHidden/>
              </w:rPr>
              <w:t>1</w:t>
            </w:r>
            <w:r w:rsidR="00F03E3F">
              <w:rPr>
                <w:noProof/>
                <w:webHidden/>
              </w:rPr>
              <w:fldChar w:fldCharType="end"/>
            </w:r>
          </w:hyperlink>
        </w:p>
        <w:p w14:paraId="387C766B" w14:textId="179D9DE8" w:rsidR="00F03E3F" w:rsidRDefault="00593366">
          <w:pPr>
            <w:pStyle w:val="TOC1"/>
            <w:rPr>
              <w:rFonts w:eastAsiaTheme="minorEastAsia" w:cstheme="minorBidi"/>
              <w:b w:val="0"/>
              <w:bCs w:val="0"/>
              <w:noProof/>
              <w:sz w:val="22"/>
              <w:szCs w:val="22"/>
            </w:rPr>
          </w:pPr>
          <w:hyperlink w:anchor="_Toc113888452" w:history="1">
            <w:r w:rsidR="00F03E3F" w:rsidRPr="00B54445">
              <w:rPr>
                <w:rStyle w:val="Hyperlink"/>
                <w:noProof/>
              </w:rPr>
              <w:t>235.000</w:t>
            </w:r>
            <w:r w:rsidR="00F03E3F">
              <w:rPr>
                <w:rFonts w:eastAsiaTheme="minorEastAsia" w:cstheme="minorBidi"/>
                <w:b w:val="0"/>
                <w:bCs w:val="0"/>
                <w:noProof/>
                <w:sz w:val="22"/>
                <w:szCs w:val="22"/>
              </w:rPr>
              <w:tab/>
            </w:r>
            <w:r w:rsidR="00F03E3F" w:rsidRPr="00B54445">
              <w:rPr>
                <w:rStyle w:val="Hyperlink"/>
                <w:noProof/>
              </w:rPr>
              <w:t>Performance Based Incentive Payment Methodology</w:t>
            </w:r>
            <w:r w:rsidR="00F03E3F">
              <w:rPr>
                <w:noProof/>
                <w:webHidden/>
              </w:rPr>
              <w:tab/>
            </w:r>
            <w:r w:rsidR="00F03E3F">
              <w:rPr>
                <w:noProof/>
                <w:webHidden/>
              </w:rPr>
              <w:fldChar w:fldCharType="begin"/>
            </w:r>
            <w:r w:rsidR="00F03E3F">
              <w:rPr>
                <w:noProof/>
                <w:webHidden/>
              </w:rPr>
              <w:instrText xml:space="preserve"> PAGEREF _Toc113888452 \h </w:instrText>
            </w:r>
            <w:r w:rsidR="00F03E3F">
              <w:rPr>
                <w:noProof/>
                <w:webHidden/>
              </w:rPr>
            </w:r>
            <w:r w:rsidR="00F03E3F">
              <w:rPr>
                <w:noProof/>
                <w:webHidden/>
              </w:rPr>
              <w:fldChar w:fldCharType="separate"/>
            </w:r>
            <w:r w:rsidR="008008F3">
              <w:rPr>
                <w:noProof/>
                <w:webHidden/>
              </w:rPr>
              <w:t>2</w:t>
            </w:r>
            <w:r w:rsidR="00F03E3F">
              <w:rPr>
                <w:noProof/>
                <w:webHidden/>
              </w:rPr>
              <w:fldChar w:fldCharType="end"/>
            </w:r>
          </w:hyperlink>
        </w:p>
        <w:p w14:paraId="19D7B194" w14:textId="3D1A40E4" w:rsidR="00F03E3F" w:rsidRDefault="00593366">
          <w:pPr>
            <w:pStyle w:val="TOC2"/>
            <w:tabs>
              <w:tab w:val="right" w:leader="dot" w:pos="9350"/>
            </w:tabs>
            <w:rPr>
              <w:rFonts w:eastAsiaTheme="minorEastAsia" w:cstheme="minorBidi"/>
              <w:i w:val="0"/>
              <w:iCs w:val="0"/>
              <w:noProof/>
              <w:sz w:val="22"/>
              <w:szCs w:val="22"/>
            </w:rPr>
          </w:pPr>
          <w:hyperlink w:anchor="_Toc113888453" w:history="1">
            <w:r w:rsidR="00F03E3F" w:rsidRPr="00B54445">
              <w:rPr>
                <w:rStyle w:val="Hyperlink"/>
                <w:noProof/>
              </w:rPr>
              <w:t>Emergency Department Utilization (EDU) — HEDIS Exclusions</w:t>
            </w:r>
            <w:r w:rsidR="00F03E3F">
              <w:rPr>
                <w:noProof/>
                <w:webHidden/>
              </w:rPr>
              <w:tab/>
            </w:r>
            <w:r w:rsidR="00F03E3F">
              <w:rPr>
                <w:noProof/>
                <w:webHidden/>
              </w:rPr>
              <w:fldChar w:fldCharType="begin"/>
            </w:r>
            <w:r w:rsidR="00F03E3F">
              <w:rPr>
                <w:noProof/>
                <w:webHidden/>
              </w:rPr>
              <w:instrText xml:space="preserve"> PAGEREF _Toc113888453 \h </w:instrText>
            </w:r>
            <w:r w:rsidR="00F03E3F">
              <w:rPr>
                <w:noProof/>
                <w:webHidden/>
              </w:rPr>
            </w:r>
            <w:r w:rsidR="00F03E3F">
              <w:rPr>
                <w:noProof/>
                <w:webHidden/>
              </w:rPr>
              <w:fldChar w:fldCharType="separate"/>
            </w:r>
            <w:r w:rsidR="008008F3">
              <w:rPr>
                <w:noProof/>
                <w:webHidden/>
              </w:rPr>
              <w:t>2</w:t>
            </w:r>
            <w:r w:rsidR="00F03E3F">
              <w:rPr>
                <w:noProof/>
                <w:webHidden/>
              </w:rPr>
              <w:fldChar w:fldCharType="end"/>
            </w:r>
          </w:hyperlink>
        </w:p>
        <w:p w14:paraId="02C431EB" w14:textId="2C8DF186" w:rsidR="00F03E3F" w:rsidRDefault="00593366">
          <w:pPr>
            <w:pStyle w:val="TOC2"/>
            <w:tabs>
              <w:tab w:val="right" w:leader="dot" w:pos="9350"/>
            </w:tabs>
            <w:rPr>
              <w:rFonts w:eastAsiaTheme="minorEastAsia" w:cstheme="minorBidi"/>
              <w:i w:val="0"/>
              <w:iCs w:val="0"/>
              <w:noProof/>
              <w:sz w:val="22"/>
              <w:szCs w:val="22"/>
            </w:rPr>
          </w:pPr>
          <w:hyperlink w:anchor="_Toc113888454" w:history="1">
            <w:r w:rsidR="00F03E3F" w:rsidRPr="00B54445">
              <w:rPr>
                <w:rStyle w:val="Hyperlink"/>
                <w:noProof/>
              </w:rPr>
              <w:t>Acute Hospital Utilization (AHU) — HEDIS</w:t>
            </w:r>
            <w:r w:rsidR="00F03E3F" w:rsidRPr="00B54445">
              <w:rPr>
                <w:rStyle w:val="Hyperlink"/>
                <w:noProof/>
                <w:vertAlign w:val="superscript"/>
              </w:rPr>
              <w:t>2</w:t>
            </w:r>
            <w:r w:rsidR="00F03E3F" w:rsidRPr="00B54445">
              <w:rPr>
                <w:rStyle w:val="Hyperlink"/>
                <w:noProof/>
              </w:rPr>
              <w:t xml:space="preserve"> Exclusions</w:t>
            </w:r>
            <w:r w:rsidR="00F03E3F">
              <w:rPr>
                <w:noProof/>
                <w:webHidden/>
              </w:rPr>
              <w:tab/>
            </w:r>
            <w:r w:rsidR="00F03E3F">
              <w:rPr>
                <w:noProof/>
                <w:webHidden/>
              </w:rPr>
              <w:fldChar w:fldCharType="begin"/>
            </w:r>
            <w:r w:rsidR="00F03E3F">
              <w:rPr>
                <w:noProof/>
                <w:webHidden/>
              </w:rPr>
              <w:instrText xml:space="preserve"> PAGEREF _Toc113888454 \h </w:instrText>
            </w:r>
            <w:r w:rsidR="00F03E3F">
              <w:rPr>
                <w:noProof/>
                <w:webHidden/>
              </w:rPr>
            </w:r>
            <w:r w:rsidR="00F03E3F">
              <w:rPr>
                <w:noProof/>
                <w:webHidden/>
              </w:rPr>
              <w:fldChar w:fldCharType="separate"/>
            </w:r>
            <w:r w:rsidR="008008F3">
              <w:rPr>
                <w:noProof/>
                <w:webHidden/>
              </w:rPr>
              <w:t>2</w:t>
            </w:r>
            <w:r w:rsidR="00F03E3F">
              <w:rPr>
                <w:noProof/>
                <w:webHidden/>
              </w:rPr>
              <w:fldChar w:fldCharType="end"/>
            </w:r>
          </w:hyperlink>
        </w:p>
        <w:p w14:paraId="3BBBABDC" w14:textId="3A978D31" w:rsidR="00F03E3F" w:rsidRDefault="00593366">
          <w:pPr>
            <w:pStyle w:val="TOC2"/>
            <w:tabs>
              <w:tab w:val="right" w:leader="dot" w:pos="9350"/>
            </w:tabs>
            <w:rPr>
              <w:rFonts w:eastAsiaTheme="minorEastAsia" w:cstheme="minorBidi"/>
              <w:i w:val="0"/>
              <w:iCs w:val="0"/>
              <w:noProof/>
              <w:sz w:val="22"/>
              <w:szCs w:val="22"/>
            </w:rPr>
          </w:pPr>
          <w:hyperlink w:anchor="_Toc113888455" w:history="1">
            <w:r w:rsidR="00F03E3F" w:rsidRPr="00B54445">
              <w:rPr>
                <w:rStyle w:val="Hyperlink"/>
                <w:noProof/>
              </w:rPr>
              <w:t>PCMH Program-specific Exclusions</w:t>
            </w:r>
            <w:r w:rsidR="00F03E3F">
              <w:rPr>
                <w:noProof/>
                <w:webHidden/>
              </w:rPr>
              <w:tab/>
            </w:r>
            <w:r w:rsidR="00F03E3F">
              <w:rPr>
                <w:noProof/>
                <w:webHidden/>
              </w:rPr>
              <w:fldChar w:fldCharType="begin"/>
            </w:r>
            <w:r w:rsidR="00F03E3F">
              <w:rPr>
                <w:noProof/>
                <w:webHidden/>
              </w:rPr>
              <w:instrText xml:space="preserve"> PAGEREF _Toc113888455 \h </w:instrText>
            </w:r>
            <w:r w:rsidR="00F03E3F">
              <w:rPr>
                <w:noProof/>
                <w:webHidden/>
              </w:rPr>
            </w:r>
            <w:r w:rsidR="00F03E3F">
              <w:rPr>
                <w:noProof/>
                <w:webHidden/>
              </w:rPr>
              <w:fldChar w:fldCharType="separate"/>
            </w:r>
            <w:r w:rsidR="008008F3">
              <w:rPr>
                <w:noProof/>
                <w:webHidden/>
              </w:rPr>
              <w:t>2</w:t>
            </w:r>
            <w:r w:rsidR="00F03E3F">
              <w:rPr>
                <w:noProof/>
                <w:webHidden/>
              </w:rPr>
              <w:fldChar w:fldCharType="end"/>
            </w:r>
          </w:hyperlink>
        </w:p>
        <w:p w14:paraId="29BCE633" w14:textId="111E821E" w:rsidR="00F03E3F" w:rsidRDefault="00593366">
          <w:pPr>
            <w:pStyle w:val="TOC1"/>
            <w:rPr>
              <w:rFonts w:eastAsiaTheme="minorEastAsia" w:cstheme="minorBidi"/>
              <w:b w:val="0"/>
              <w:bCs w:val="0"/>
              <w:noProof/>
              <w:sz w:val="22"/>
              <w:szCs w:val="22"/>
            </w:rPr>
          </w:pPr>
          <w:hyperlink w:anchor="_Toc113888456" w:history="1">
            <w:r w:rsidR="00F03E3F" w:rsidRPr="00B54445">
              <w:rPr>
                <w:rStyle w:val="Hyperlink"/>
                <w:noProof/>
              </w:rPr>
              <w:t>236.000</w:t>
            </w:r>
            <w:r w:rsidR="00F03E3F">
              <w:rPr>
                <w:rFonts w:eastAsiaTheme="minorEastAsia" w:cstheme="minorBidi"/>
                <w:b w:val="0"/>
                <w:bCs w:val="0"/>
                <w:noProof/>
                <w:sz w:val="22"/>
                <w:szCs w:val="22"/>
              </w:rPr>
              <w:tab/>
            </w:r>
            <w:r w:rsidR="00F03E3F" w:rsidRPr="00B54445">
              <w:rPr>
                <w:rStyle w:val="Hyperlink"/>
                <w:noProof/>
              </w:rPr>
              <w:t>Incentive Focus Measure</w:t>
            </w:r>
            <w:r w:rsidR="00F03E3F">
              <w:rPr>
                <w:noProof/>
                <w:webHidden/>
              </w:rPr>
              <w:tab/>
            </w:r>
            <w:r w:rsidR="00F03E3F">
              <w:rPr>
                <w:noProof/>
                <w:webHidden/>
              </w:rPr>
              <w:fldChar w:fldCharType="begin"/>
            </w:r>
            <w:r w:rsidR="00F03E3F">
              <w:rPr>
                <w:noProof/>
                <w:webHidden/>
              </w:rPr>
              <w:instrText xml:space="preserve"> PAGEREF _Toc113888456 \h </w:instrText>
            </w:r>
            <w:r w:rsidR="00F03E3F">
              <w:rPr>
                <w:noProof/>
                <w:webHidden/>
              </w:rPr>
            </w:r>
            <w:r w:rsidR="00F03E3F">
              <w:rPr>
                <w:noProof/>
                <w:webHidden/>
              </w:rPr>
              <w:fldChar w:fldCharType="separate"/>
            </w:r>
            <w:r w:rsidR="008008F3">
              <w:rPr>
                <w:noProof/>
                <w:webHidden/>
              </w:rPr>
              <w:t>3</w:t>
            </w:r>
            <w:r w:rsidR="00F03E3F">
              <w:rPr>
                <w:noProof/>
                <w:webHidden/>
              </w:rPr>
              <w:fldChar w:fldCharType="end"/>
            </w:r>
          </w:hyperlink>
        </w:p>
        <w:p w14:paraId="4ED803C0" w14:textId="42B37F9F" w:rsidR="00F03E3F" w:rsidRDefault="00593366">
          <w:pPr>
            <w:pStyle w:val="TOC2"/>
            <w:tabs>
              <w:tab w:val="right" w:leader="dot" w:pos="9350"/>
            </w:tabs>
            <w:rPr>
              <w:rFonts w:eastAsiaTheme="minorEastAsia" w:cstheme="minorBidi"/>
              <w:i w:val="0"/>
              <w:iCs w:val="0"/>
              <w:noProof/>
              <w:sz w:val="22"/>
              <w:szCs w:val="22"/>
            </w:rPr>
          </w:pPr>
          <w:hyperlink w:anchor="_Toc113888457" w:history="1">
            <w:r w:rsidR="00F03E3F" w:rsidRPr="00B54445">
              <w:rPr>
                <w:rStyle w:val="Hyperlink"/>
                <w:noProof/>
              </w:rPr>
              <w:t>Incentive Utilization Metrics Tracked for PBIP</w:t>
            </w:r>
            <w:r w:rsidR="00F03E3F">
              <w:rPr>
                <w:noProof/>
                <w:webHidden/>
              </w:rPr>
              <w:tab/>
            </w:r>
            <w:r w:rsidR="00F03E3F">
              <w:rPr>
                <w:noProof/>
                <w:webHidden/>
              </w:rPr>
              <w:fldChar w:fldCharType="begin"/>
            </w:r>
            <w:r w:rsidR="00F03E3F">
              <w:rPr>
                <w:noProof/>
                <w:webHidden/>
              </w:rPr>
              <w:instrText xml:space="preserve"> PAGEREF _Toc113888457 \h </w:instrText>
            </w:r>
            <w:r w:rsidR="00F03E3F">
              <w:rPr>
                <w:noProof/>
                <w:webHidden/>
              </w:rPr>
            </w:r>
            <w:r w:rsidR="00F03E3F">
              <w:rPr>
                <w:noProof/>
                <w:webHidden/>
              </w:rPr>
              <w:fldChar w:fldCharType="separate"/>
            </w:r>
            <w:r w:rsidR="008008F3">
              <w:rPr>
                <w:noProof/>
                <w:webHidden/>
              </w:rPr>
              <w:t>3</w:t>
            </w:r>
            <w:r w:rsidR="00F03E3F">
              <w:rPr>
                <w:noProof/>
                <w:webHidden/>
              </w:rPr>
              <w:fldChar w:fldCharType="end"/>
            </w:r>
          </w:hyperlink>
        </w:p>
        <w:p w14:paraId="5014B2B1" w14:textId="72B69E0B" w:rsidR="00F03E3F" w:rsidRDefault="00593366">
          <w:pPr>
            <w:pStyle w:val="TOC2"/>
            <w:tabs>
              <w:tab w:val="right" w:leader="dot" w:pos="9350"/>
            </w:tabs>
            <w:rPr>
              <w:rFonts w:eastAsiaTheme="minorEastAsia" w:cstheme="minorBidi"/>
              <w:i w:val="0"/>
              <w:iCs w:val="0"/>
              <w:noProof/>
              <w:sz w:val="22"/>
              <w:szCs w:val="22"/>
            </w:rPr>
          </w:pPr>
          <w:hyperlink w:anchor="_Toc113888458" w:history="1">
            <w:r w:rsidR="00F03E3F" w:rsidRPr="00B54445">
              <w:rPr>
                <w:rStyle w:val="Hyperlink"/>
                <w:noProof/>
              </w:rPr>
              <w:t>Technical Specifications for Incentive Utilization Metrics Tracked for PBIP</w:t>
            </w:r>
            <w:r w:rsidR="00F03E3F">
              <w:rPr>
                <w:noProof/>
                <w:webHidden/>
              </w:rPr>
              <w:tab/>
            </w:r>
            <w:r w:rsidR="00F03E3F">
              <w:rPr>
                <w:noProof/>
                <w:webHidden/>
              </w:rPr>
              <w:fldChar w:fldCharType="begin"/>
            </w:r>
            <w:r w:rsidR="00F03E3F">
              <w:rPr>
                <w:noProof/>
                <w:webHidden/>
              </w:rPr>
              <w:instrText xml:space="preserve"> PAGEREF _Toc113888458 \h </w:instrText>
            </w:r>
            <w:r w:rsidR="00F03E3F">
              <w:rPr>
                <w:noProof/>
                <w:webHidden/>
              </w:rPr>
            </w:r>
            <w:r w:rsidR="00F03E3F">
              <w:rPr>
                <w:noProof/>
                <w:webHidden/>
              </w:rPr>
              <w:fldChar w:fldCharType="separate"/>
            </w:r>
            <w:r w:rsidR="008008F3">
              <w:rPr>
                <w:noProof/>
                <w:webHidden/>
              </w:rPr>
              <w:t>3</w:t>
            </w:r>
            <w:r w:rsidR="00F03E3F">
              <w:rPr>
                <w:noProof/>
                <w:webHidden/>
              </w:rPr>
              <w:fldChar w:fldCharType="end"/>
            </w:r>
          </w:hyperlink>
        </w:p>
        <w:p w14:paraId="45181741" w14:textId="62D9FD36" w:rsidR="00F03E3F" w:rsidRDefault="00593366">
          <w:pPr>
            <w:pStyle w:val="TOC3"/>
            <w:rPr>
              <w:rFonts w:eastAsiaTheme="minorEastAsia" w:cstheme="minorBidi"/>
              <w:noProof/>
              <w:sz w:val="22"/>
              <w:szCs w:val="22"/>
            </w:rPr>
          </w:pPr>
          <w:hyperlink w:anchor="_Toc113888459" w:history="1">
            <w:r w:rsidR="00F03E3F" w:rsidRPr="00B54445">
              <w:rPr>
                <w:rStyle w:val="Hyperlink"/>
                <w:noProof/>
              </w:rPr>
              <w:t>Metric 1: Emergency Department Utilization</w:t>
            </w:r>
            <w:r w:rsidR="00F03E3F">
              <w:rPr>
                <w:noProof/>
                <w:webHidden/>
              </w:rPr>
              <w:tab/>
            </w:r>
            <w:r w:rsidR="00F03E3F">
              <w:rPr>
                <w:noProof/>
                <w:webHidden/>
              </w:rPr>
              <w:fldChar w:fldCharType="begin"/>
            </w:r>
            <w:r w:rsidR="00F03E3F">
              <w:rPr>
                <w:noProof/>
                <w:webHidden/>
              </w:rPr>
              <w:instrText xml:space="preserve"> PAGEREF _Toc113888459 \h </w:instrText>
            </w:r>
            <w:r w:rsidR="00F03E3F">
              <w:rPr>
                <w:noProof/>
                <w:webHidden/>
              </w:rPr>
            </w:r>
            <w:r w:rsidR="00F03E3F">
              <w:rPr>
                <w:noProof/>
                <w:webHidden/>
              </w:rPr>
              <w:fldChar w:fldCharType="separate"/>
            </w:r>
            <w:r w:rsidR="008008F3">
              <w:rPr>
                <w:noProof/>
                <w:webHidden/>
              </w:rPr>
              <w:t>3</w:t>
            </w:r>
            <w:r w:rsidR="00F03E3F">
              <w:rPr>
                <w:noProof/>
                <w:webHidden/>
              </w:rPr>
              <w:fldChar w:fldCharType="end"/>
            </w:r>
          </w:hyperlink>
        </w:p>
        <w:p w14:paraId="4840E21E" w14:textId="5FD3EC23" w:rsidR="00F03E3F" w:rsidRDefault="00593366">
          <w:pPr>
            <w:pStyle w:val="TOC3"/>
            <w:rPr>
              <w:rFonts w:eastAsiaTheme="minorEastAsia" w:cstheme="minorBidi"/>
              <w:noProof/>
              <w:sz w:val="22"/>
              <w:szCs w:val="22"/>
            </w:rPr>
          </w:pPr>
          <w:hyperlink w:anchor="_Toc113888460" w:history="1">
            <w:r w:rsidR="00F03E3F" w:rsidRPr="00B54445">
              <w:rPr>
                <w:rStyle w:val="Hyperlink"/>
                <w:noProof/>
              </w:rPr>
              <w:t>Metric 2: Acute Hospitalization Utilization</w:t>
            </w:r>
            <w:r w:rsidR="00F03E3F">
              <w:rPr>
                <w:noProof/>
                <w:webHidden/>
              </w:rPr>
              <w:tab/>
            </w:r>
            <w:r w:rsidR="00F03E3F">
              <w:rPr>
                <w:noProof/>
                <w:webHidden/>
              </w:rPr>
              <w:fldChar w:fldCharType="begin"/>
            </w:r>
            <w:r w:rsidR="00F03E3F">
              <w:rPr>
                <w:noProof/>
                <w:webHidden/>
              </w:rPr>
              <w:instrText xml:space="preserve"> PAGEREF _Toc113888460 \h </w:instrText>
            </w:r>
            <w:r w:rsidR="00F03E3F">
              <w:rPr>
                <w:noProof/>
                <w:webHidden/>
              </w:rPr>
            </w:r>
            <w:r w:rsidR="00F03E3F">
              <w:rPr>
                <w:noProof/>
                <w:webHidden/>
              </w:rPr>
              <w:fldChar w:fldCharType="separate"/>
            </w:r>
            <w:r w:rsidR="008008F3">
              <w:rPr>
                <w:noProof/>
                <w:webHidden/>
              </w:rPr>
              <w:t>3</w:t>
            </w:r>
            <w:r w:rsidR="00F03E3F">
              <w:rPr>
                <w:noProof/>
                <w:webHidden/>
              </w:rPr>
              <w:fldChar w:fldCharType="end"/>
            </w:r>
          </w:hyperlink>
        </w:p>
        <w:p w14:paraId="7C2F7A01" w14:textId="6016EDA7" w:rsidR="00F03E3F" w:rsidRDefault="00593366">
          <w:pPr>
            <w:pStyle w:val="TOC1"/>
            <w:rPr>
              <w:rFonts w:eastAsiaTheme="minorEastAsia" w:cstheme="minorBidi"/>
              <w:b w:val="0"/>
              <w:bCs w:val="0"/>
              <w:noProof/>
              <w:sz w:val="22"/>
              <w:szCs w:val="22"/>
            </w:rPr>
          </w:pPr>
          <w:hyperlink w:anchor="_Toc113888461" w:history="1">
            <w:r w:rsidR="00F03E3F" w:rsidRPr="00B54445">
              <w:rPr>
                <w:rStyle w:val="Hyperlink"/>
                <w:noProof/>
              </w:rPr>
              <w:t>237.000</w:t>
            </w:r>
            <w:r w:rsidR="00F03E3F">
              <w:rPr>
                <w:rFonts w:eastAsiaTheme="minorEastAsia" w:cstheme="minorBidi"/>
                <w:b w:val="0"/>
                <w:bCs w:val="0"/>
                <w:noProof/>
                <w:sz w:val="22"/>
                <w:szCs w:val="22"/>
              </w:rPr>
              <w:tab/>
            </w:r>
            <w:r w:rsidR="00F03E3F" w:rsidRPr="00B54445">
              <w:rPr>
                <w:rStyle w:val="Hyperlink"/>
                <w:noProof/>
              </w:rPr>
              <w:t>Performance Based Incentive Payment Amounts</w:t>
            </w:r>
            <w:r w:rsidR="00F03E3F">
              <w:rPr>
                <w:noProof/>
                <w:webHidden/>
              </w:rPr>
              <w:tab/>
            </w:r>
            <w:r w:rsidR="00F03E3F">
              <w:rPr>
                <w:noProof/>
                <w:webHidden/>
              </w:rPr>
              <w:fldChar w:fldCharType="begin"/>
            </w:r>
            <w:r w:rsidR="00F03E3F">
              <w:rPr>
                <w:noProof/>
                <w:webHidden/>
              </w:rPr>
              <w:instrText xml:space="preserve"> PAGEREF _Toc113888461 \h </w:instrText>
            </w:r>
            <w:r w:rsidR="00F03E3F">
              <w:rPr>
                <w:noProof/>
                <w:webHidden/>
              </w:rPr>
            </w:r>
            <w:r w:rsidR="00F03E3F">
              <w:rPr>
                <w:noProof/>
                <w:webHidden/>
              </w:rPr>
              <w:fldChar w:fldCharType="separate"/>
            </w:r>
            <w:r w:rsidR="008008F3">
              <w:rPr>
                <w:noProof/>
                <w:webHidden/>
              </w:rPr>
              <w:t>4</w:t>
            </w:r>
            <w:r w:rsidR="00F03E3F">
              <w:rPr>
                <w:noProof/>
                <w:webHidden/>
              </w:rPr>
              <w:fldChar w:fldCharType="end"/>
            </w:r>
          </w:hyperlink>
        </w:p>
        <w:p w14:paraId="446861CA" w14:textId="6AA811EE" w:rsidR="00F03E3F" w:rsidRDefault="00593366">
          <w:pPr>
            <w:pStyle w:val="TOC2"/>
            <w:tabs>
              <w:tab w:val="right" w:leader="dot" w:pos="9350"/>
            </w:tabs>
            <w:rPr>
              <w:rFonts w:eastAsiaTheme="minorEastAsia" w:cstheme="minorBidi"/>
              <w:i w:val="0"/>
              <w:iCs w:val="0"/>
              <w:noProof/>
              <w:sz w:val="22"/>
              <w:szCs w:val="22"/>
            </w:rPr>
          </w:pPr>
          <w:hyperlink w:anchor="_Toc113888462" w:history="1">
            <w:r w:rsidR="00F03E3F" w:rsidRPr="00B54445">
              <w:rPr>
                <w:rStyle w:val="Hyperlink"/>
                <w:noProof/>
              </w:rPr>
              <w:t>Percentile of performance and incentive bonus</w:t>
            </w:r>
            <w:r w:rsidR="00F03E3F">
              <w:rPr>
                <w:noProof/>
                <w:webHidden/>
              </w:rPr>
              <w:tab/>
            </w:r>
            <w:r w:rsidR="00F03E3F">
              <w:rPr>
                <w:noProof/>
                <w:webHidden/>
              </w:rPr>
              <w:fldChar w:fldCharType="begin"/>
            </w:r>
            <w:r w:rsidR="00F03E3F">
              <w:rPr>
                <w:noProof/>
                <w:webHidden/>
              </w:rPr>
              <w:instrText xml:space="preserve"> PAGEREF _Toc113888462 \h </w:instrText>
            </w:r>
            <w:r w:rsidR="00F03E3F">
              <w:rPr>
                <w:noProof/>
                <w:webHidden/>
              </w:rPr>
            </w:r>
            <w:r w:rsidR="00F03E3F">
              <w:rPr>
                <w:noProof/>
                <w:webHidden/>
              </w:rPr>
              <w:fldChar w:fldCharType="separate"/>
            </w:r>
            <w:r w:rsidR="008008F3">
              <w:rPr>
                <w:noProof/>
                <w:webHidden/>
              </w:rPr>
              <w:t>4</w:t>
            </w:r>
            <w:r w:rsidR="00F03E3F">
              <w:rPr>
                <w:noProof/>
                <w:webHidden/>
              </w:rPr>
              <w:fldChar w:fldCharType="end"/>
            </w:r>
          </w:hyperlink>
        </w:p>
        <w:p w14:paraId="737C4BBC" w14:textId="4CC4D7BD" w:rsidR="00F03E3F" w:rsidRDefault="00593366">
          <w:pPr>
            <w:pStyle w:val="TOC1"/>
            <w:rPr>
              <w:rFonts w:eastAsiaTheme="minorEastAsia" w:cstheme="minorBidi"/>
              <w:b w:val="0"/>
              <w:bCs w:val="0"/>
              <w:noProof/>
              <w:sz w:val="22"/>
              <w:szCs w:val="22"/>
            </w:rPr>
          </w:pPr>
          <w:hyperlink w:anchor="_Toc113888463" w:history="1">
            <w:r w:rsidR="00F03E3F" w:rsidRPr="00B54445">
              <w:rPr>
                <w:rStyle w:val="Hyperlink"/>
                <w:noProof/>
              </w:rPr>
              <w:t>241.000</w:t>
            </w:r>
            <w:r w:rsidR="00F03E3F">
              <w:rPr>
                <w:rFonts w:eastAsiaTheme="minorEastAsia" w:cstheme="minorBidi"/>
                <w:b w:val="0"/>
                <w:bCs w:val="0"/>
                <w:noProof/>
                <w:sz w:val="22"/>
                <w:szCs w:val="22"/>
              </w:rPr>
              <w:tab/>
            </w:r>
            <w:r w:rsidR="00F03E3F" w:rsidRPr="00B54445">
              <w:rPr>
                <w:rStyle w:val="Hyperlink"/>
                <w:noProof/>
              </w:rPr>
              <w:t>Activities Tracked for Practice Support</w:t>
            </w:r>
            <w:r w:rsidR="00F03E3F">
              <w:rPr>
                <w:noProof/>
                <w:webHidden/>
              </w:rPr>
              <w:tab/>
            </w:r>
            <w:r w:rsidR="00F03E3F">
              <w:rPr>
                <w:noProof/>
                <w:webHidden/>
              </w:rPr>
              <w:fldChar w:fldCharType="begin"/>
            </w:r>
            <w:r w:rsidR="00F03E3F">
              <w:rPr>
                <w:noProof/>
                <w:webHidden/>
              </w:rPr>
              <w:instrText xml:space="preserve"> PAGEREF _Toc113888463 \h </w:instrText>
            </w:r>
            <w:r w:rsidR="00F03E3F">
              <w:rPr>
                <w:noProof/>
                <w:webHidden/>
              </w:rPr>
            </w:r>
            <w:r w:rsidR="00F03E3F">
              <w:rPr>
                <w:noProof/>
                <w:webHidden/>
              </w:rPr>
              <w:fldChar w:fldCharType="separate"/>
            </w:r>
            <w:r w:rsidR="008008F3">
              <w:rPr>
                <w:noProof/>
                <w:webHidden/>
              </w:rPr>
              <w:t>5</w:t>
            </w:r>
            <w:r w:rsidR="00F03E3F">
              <w:rPr>
                <w:noProof/>
                <w:webHidden/>
              </w:rPr>
              <w:fldChar w:fldCharType="end"/>
            </w:r>
          </w:hyperlink>
        </w:p>
        <w:p w14:paraId="027264D6" w14:textId="3695464D" w:rsidR="00F03E3F" w:rsidRDefault="00593366">
          <w:pPr>
            <w:pStyle w:val="TOC2"/>
            <w:tabs>
              <w:tab w:val="right" w:leader="dot" w:pos="9350"/>
            </w:tabs>
            <w:rPr>
              <w:rFonts w:eastAsiaTheme="minorEastAsia" w:cstheme="minorBidi"/>
              <w:i w:val="0"/>
              <w:iCs w:val="0"/>
              <w:noProof/>
              <w:sz w:val="22"/>
              <w:szCs w:val="22"/>
            </w:rPr>
          </w:pPr>
          <w:hyperlink w:anchor="_Toc113888464" w:history="1">
            <w:r w:rsidR="00F03E3F" w:rsidRPr="00B54445">
              <w:rPr>
                <w:rStyle w:val="Hyperlink"/>
                <w:noProof/>
              </w:rPr>
              <w:t>Activities for the 2023 Performance Period</w:t>
            </w:r>
            <w:r w:rsidR="00F03E3F">
              <w:rPr>
                <w:noProof/>
                <w:webHidden/>
              </w:rPr>
              <w:tab/>
            </w:r>
            <w:r w:rsidR="00F03E3F">
              <w:rPr>
                <w:noProof/>
                <w:webHidden/>
              </w:rPr>
              <w:fldChar w:fldCharType="begin"/>
            </w:r>
            <w:r w:rsidR="00F03E3F">
              <w:rPr>
                <w:noProof/>
                <w:webHidden/>
              </w:rPr>
              <w:instrText xml:space="preserve"> PAGEREF _Toc113888464 \h </w:instrText>
            </w:r>
            <w:r w:rsidR="00F03E3F">
              <w:rPr>
                <w:noProof/>
                <w:webHidden/>
              </w:rPr>
            </w:r>
            <w:r w:rsidR="00F03E3F">
              <w:rPr>
                <w:noProof/>
                <w:webHidden/>
              </w:rPr>
              <w:fldChar w:fldCharType="separate"/>
            </w:r>
            <w:r w:rsidR="008008F3">
              <w:rPr>
                <w:noProof/>
                <w:webHidden/>
              </w:rPr>
              <w:t>5</w:t>
            </w:r>
            <w:r w:rsidR="00F03E3F">
              <w:rPr>
                <w:noProof/>
                <w:webHidden/>
              </w:rPr>
              <w:fldChar w:fldCharType="end"/>
            </w:r>
          </w:hyperlink>
        </w:p>
        <w:p w14:paraId="79930AD4" w14:textId="17B6CD3E" w:rsidR="00F03E3F" w:rsidRDefault="00593366">
          <w:pPr>
            <w:pStyle w:val="TOC2"/>
            <w:tabs>
              <w:tab w:val="right" w:leader="dot" w:pos="9350"/>
            </w:tabs>
            <w:rPr>
              <w:rFonts w:eastAsiaTheme="minorEastAsia" w:cstheme="minorBidi"/>
              <w:i w:val="0"/>
              <w:iCs w:val="0"/>
              <w:noProof/>
              <w:sz w:val="22"/>
              <w:szCs w:val="22"/>
            </w:rPr>
          </w:pPr>
          <w:hyperlink w:anchor="_Toc113888465" w:history="1">
            <w:r w:rsidR="00F03E3F" w:rsidRPr="00B54445">
              <w:rPr>
                <w:rStyle w:val="Hyperlink"/>
                <w:noProof/>
              </w:rPr>
              <w:t>Details on Activities Tracked for Practice Support</w:t>
            </w:r>
            <w:r w:rsidR="00F03E3F">
              <w:rPr>
                <w:noProof/>
                <w:webHidden/>
              </w:rPr>
              <w:tab/>
            </w:r>
            <w:r w:rsidR="00F03E3F">
              <w:rPr>
                <w:noProof/>
                <w:webHidden/>
              </w:rPr>
              <w:fldChar w:fldCharType="begin"/>
            </w:r>
            <w:r w:rsidR="00F03E3F">
              <w:rPr>
                <w:noProof/>
                <w:webHidden/>
              </w:rPr>
              <w:instrText xml:space="preserve"> PAGEREF _Toc113888465 \h </w:instrText>
            </w:r>
            <w:r w:rsidR="00F03E3F">
              <w:rPr>
                <w:noProof/>
                <w:webHidden/>
              </w:rPr>
            </w:r>
            <w:r w:rsidR="00F03E3F">
              <w:rPr>
                <w:noProof/>
                <w:webHidden/>
              </w:rPr>
              <w:fldChar w:fldCharType="separate"/>
            </w:r>
            <w:r w:rsidR="008008F3">
              <w:rPr>
                <w:noProof/>
                <w:webHidden/>
              </w:rPr>
              <w:t>6</w:t>
            </w:r>
            <w:r w:rsidR="00F03E3F">
              <w:rPr>
                <w:noProof/>
                <w:webHidden/>
              </w:rPr>
              <w:fldChar w:fldCharType="end"/>
            </w:r>
          </w:hyperlink>
        </w:p>
        <w:p w14:paraId="191363DA" w14:textId="5AEC921F" w:rsidR="00F03E3F" w:rsidRDefault="00593366">
          <w:pPr>
            <w:pStyle w:val="TOC3"/>
            <w:rPr>
              <w:rFonts w:eastAsiaTheme="minorEastAsia" w:cstheme="minorBidi"/>
              <w:noProof/>
              <w:sz w:val="22"/>
              <w:szCs w:val="22"/>
            </w:rPr>
          </w:pPr>
          <w:hyperlink w:anchor="_Toc113888466" w:history="1">
            <w:r w:rsidR="00F03E3F" w:rsidRPr="00B54445">
              <w:rPr>
                <w:rStyle w:val="Hyperlink"/>
                <w:noProof/>
              </w:rPr>
              <w:t>Activity A: Identify top 10% of high-priority patients</w:t>
            </w:r>
            <w:r w:rsidR="00F03E3F">
              <w:rPr>
                <w:noProof/>
                <w:webHidden/>
              </w:rPr>
              <w:tab/>
            </w:r>
            <w:r w:rsidR="00F03E3F">
              <w:rPr>
                <w:noProof/>
                <w:webHidden/>
              </w:rPr>
              <w:fldChar w:fldCharType="begin"/>
            </w:r>
            <w:r w:rsidR="00F03E3F">
              <w:rPr>
                <w:noProof/>
                <w:webHidden/>
              </w:rPr>
              <w:instrText xml:space="preserve"> PAGEREF _Toc113888466 \h </w:instrText>
            </w:r>
            <w:r w:rsidR="00F03E3F">
              <w:rPr>
                <w:noProof/>
                <w:webHidden/>
              </w:rPr>
            </w:r>
            <w:r w:rsidR="00F03E3F">
              <w:rPr>
                <w:noProof/>
                <w:webHidden/>
              </w:rPr>
              <w:fldChar w:fldCharType="separate"/>
            </w:r>
            <w:r w:rsidR="008008F3">
              <w:rPr>
                <w:noProof/>
                <w:webHidden/>
              </w:rPr>
              <w:t>6</w:t>
            </w:r>
            <w:r w:rsidR="00F03E3F">
              <w:rPr>
                <w:noProof/>
                <w:webHidden/>
              </w:rPr>
              <w:fldChar w:fldCharType="end"/>
            </w:r>
          </w:hyperlink>
        </w:p>
        <w:p w14:paraId="17EA5DEA" w14:textId="40AE9DDB" w:rsidR="00F03E3F" w:rsidRDefault="00593366">
          <w:pPr>
            <w:pStyle w:val="TOC3"/>
            <w:rPr>
              <w:rFonts w:eastAsiaTheme="minorEastAsia" w:cstheme="minorBidi"/>
              <w:noProof/>
              <w:sz w:val="22"/>
              <w:szCs w:val="22"/>
            </w:rPr>
          </w:pPr>
          <w:hyperlink w:anchor="_Toc113888467" w:history="1">
            <w:r w:rsidR="00F03E3F" w:rsidRPr="00B54445">
              <w:rPr>
                <w:rStyle w:val="Hyperlink"/>
                <w:noProof/>
              </w:rPr>
              <w:t>Activity B: Make available 24/7 access to care</w:t>
            </w:r>
            <w:r w:rsidR="00F03E3F">
              <w:rPr>
                <w:noProof/>
                <w:webHidden/>
              </w:rPr>
              <w:tab/>
            </w:r>
            <w:r w:rsidR="00F03E3F">
              <w:rPr>
                <w:noProof/>
                <w:webHidden/>
              </w:rPr>
              <w:fldChar w:fldCharType="begin"/>
            </w:r>
            <w:r w:rsidR="00F03E3F">
              <w:rPr>
                <w:noProof/>
                <w:webHidden/>
              </w:rPr>
              <w:instrText xml:space="preserve"> PAGEREF _Toc113888467 \h </w:instrText>
            </w:r>
            <w:r w:rsidR="00F03E3F">
              <w:rPr>
                <w:noProof/>
                <w:webHidden/>
              </w:rPr>
            </w:r>
            <w:r w:rsidR="00F03E3F">
              <w:rPr>
                <w:noProof/>
                <w:webHidden/>
              </w:rPr>
              <w:fldChar w:fldCharType="separate"/>
            </w:r>
            <w:r w:rsidR="008008F3">
              <w:rPr>
                <w:noProof/>
                <w:webHidden/>
              </w:rPr>
              <w:t>7</w:t>
            </w:r>
            <w:r w:rsidR="00F03E3F">
              <w:rPr>
                <w:noProof/>
                <w:webHidden/>
              </w:rPr>
              <w:fldChar w:fldCharType="end"/>
            </w:r>
          </w:hyperlink>
        </w:p>
        <w:p w14:paraId="1521AAEF" w14:textId="05EAB84C" w:rsidR="00F03E3F" w:rsidRDefault="00593366">
          <w:pPr>
            <w:pStyle w:val="TOC3"/>
            <w:rPr>
              <w:rFonts w:eastAsiaTheme="minorEastAsia" w:cstheme="minorBidi"/>
              <w:noProof/>
              <w:sz w:val="22"/>
              <w:szCs w:val="22"/>
            </w:rPr>
          </w:pPr>
          <w:hyperlink w:anchor="_Toc113888468" w:history="1">
            <w:r w:rsidR="00F03E3F" w:rsidRPr="00B54445">
              <w:rPr>
                <w:rStyle w:val="Hyperlink"/>
                <w:noProof/>
              </w:rPr>
              <w:t>Activity C: Capacity to receive direct e-messaging from patients</w:t>
            </w:r>
            <w:r w:rsidR="00F03E3F">
              <w:rPr>
                <w:noProof/>
                <w:webHidden/>
              </w:rPr>
              <w:tab/>
            </w:r>
            <w:r w:rsidR="00F03E3F">
              <w:rPr>
                <w:noProof/>
                <w:webHidden/>
              </w:rPr>
              <w:fldChar w:fldCharType="begin"/>
            </w:r>
            <w:r w:rsidR="00F03E3F">
              <w:rPr>
                <w:noProof/>
                <w:webHidden/>
              </w:rPr>
              <w:instrText xml:space="preserve"> PAGEREF _Toc113888468 \h </w:instrText>
            </w:r>
            <w:r w:rsidR="00F03E3F">
              <w:rPr>
                <w:noProof/>
                <w:webHidden/>
              </w:rPr>
            </w:r>
            <w:r w:rsidR="00F03E3F">
              <w:rPr>
                <w:noProof/>
                <w:webHidden/>
              </w:rPr>
              <w:fldChar w:fldCharType="separate"/>
            </w:r>
            <w:r w:rsidR="008008F3">
              <w:rPr>
                <w:noProof/>
                <w:webHidden/>
              </w:rPr>
              <w:t>7</w:t>
            </w:r>
            <w:r w:rsidR="00F03E3F">
              <w:rPr>
                <w:noProof/>
                <w:webHidden/>
              </w:rPr>
              <w:fldChar w:fldCharType="end"/>
            </w:r>
          </w:hyperlink>
        </w:p>
        <w:p w14:paraId="47A74CE5" w14:textId="18ACF801" w:rsidR="00F03E3F" w:rsidRDefault="00593366">
          <w:pPr>
            <w:pStyle w:val="TOC3"/>
            <w:rPr>
              <w:rFonts w:eastAsiaTheme="minorEastAsia" w:cstheme="minorBidi"/>
              <w:noProof/>
              <w:sz w:val="22"/>
              <w:szCs w:val="22"/>
            </w:rPr>
          </w:pPr>
          <w:hyperlink w:anchor="_Toc113888469" w:history="1">
            <w:r w:rsidR="00F03E3F" w:rsidRPr="00B54445">
              <w:rPr>
                <w:rStyle w:val="Hyperlink"/>
                <w:noProof/>
              </w:rPr>
              <w:t>Activity D: Childhood/Adult Vaccination Practice Strategy</w:t>
            </w:r>
            <w:r w:rsidR="00F03E3F">
              <w:rPr>
                <w:noProof/>
                <w:webHidden/>
              </w:rPr>
              <w:tab/>
            </w:r>
            <w:r w:rsidR="00F03E3F">
              <w:rPr>
                <w:noProof/>
                <w:webHidden/>
              </w:rPr>
              <w:fldChar w:fldCharType="begin"/>
            </w:r>
            <w:r w:rsidR="00F03E3F">
              <w:rPr>
                <w:noProof/>
                <w:webHidden/>
              </w:rPr>
              <w:instrText xml:space="preserve"> PAGEREF _Toc113888469 \h </w:instrText>
            </w:r>
            <w:r w:rsidR="00F03E3F">
              <w:rPr>
                <w:noProof/>
                <w:webHidden/>
              </w:rPr>
            </w:r>
            <w:r w:rsidR="00F03E3F">
              <w:rPr>
                <w:noProof/>
                <w:webHidden/>
              </w:rPr>
              <w:fldChar w:fldCharType="separate"/>
            </w:r>
            <w:r w:rsidR="008008F3">
              <w:rPr>
                <w:noProof/>
                <w:webHidden/>
              </w:rPr>
              <w:t>8</w:t>
            </w:r>
            <w:r w:rsidR="00F03E3F">
              <w:rPr>
                <w:noProof/>
                <w:webHidden/>
              </w:rPr>
              <w:fldChar w:fldCharType="end"/>
            </w:r>
          </w:hyperlink>
        </w:p>
        <w:p w14:paraId="783DBE43" w14:textId="3EB30146" w:rsidR="00F03E3F" w:rsidRDefault="00593366">
          <w:pPr>
            <w:pStyle w:val="TOC3"/>
            <w:rPr>
              <w:rFonts w:eastAsiaTheme="minorEastAsia" w:cstheme="minorBidi"/>
              <w:noProof/>
              <w:sz w:val="22"/>
              <w:szCs w:val="22"/>
            </w:rPr>
          </w:pPr>
          <w:hyperlink w:anchor="_Toc113888470" w:history="1">
            <w:r w:rsidR="00F03E3F" w:rsidRPr="00B54445">
              <w:rPr>
                <w:rStyle w:val="Hyperlink"/>
                <w:noProof/>
              </w:rPr>
              <w:t>Activity E: Join SHARE or participate in a network that delivers hospital discharge information to practice within 48 hours</w:t>
            </w:r>
            <w:r w:rsidR="00F03E3F">
              <w:rPr>
                <w:noProof/>
                <w:webHidden/>
              </w:rPr>
              <w:tab/>
            </w:r>
            <w:r w:rsidR="00F03E3F">
              <w:rPr>
                <w:noProof/>
                <w:webHidden/>
              </w:rPr>
              <w:fldChar w:fldCharType="begin"/>
            </w:r>
            <w:r w:rsidR="00F03E3F">
              <w:rPr>
                <w:noProof/>
                <w:webHidden/>
              </w:rPr>
              <w:instrText xml:space="preserve"> PAGEREF _Toc113888470 \h </w:instrText>
            </w:r>
            <w:r w:rsidR="00F03E3F">
              <w:rPr>
                <w:noProof/>
                <w:webHidden/>
              </w:rPr>
            </w:r>
            <w:r w:rsidR="00F03E3F">
              <w:rPr>
                <w:noProof/>
                <w:webHidden/>
              </w:rPr>
              <w:fldChar w:fldCharType="separate"/>
            </w:r>
            <w:r w:rsidR="008008F3">
              <w:rPr>
                <w:noProof/>
                <w:webHidden/>
              </w:rPr>
              <w:t>9</w:t>
            </w:r>
            <w:r w:rsidR="00F03E3F">
              <w:rPr>
                <w:noProof/>
                <w:webHidden/>
              </w:rPr>
              <w:fldChar w:fldCharType="end"/>
            </w:r>
          </w:hyperlink>
        </w:p>
        <w:p w14:paraId="73B8FEB5" w14:textId="7444BC22" w:rsidR="00F03E3F" w:rsidRDefault="00593366">
          <w:pPr>
            <w:pStyle w:val="TOC3"/>
            <w:rPr>
              <w:rFonts w:eastAsiaTheme="minorEastAsia" w:cstheme="minorBidi"/>
              <w:noProof/>
              <w:sz w:val="22"/>
              <w:szCs w:val="22"/>
            </w:rPr>
          </w:pPr>
          <w:hyperlink w:anchor="_Toc113888471" w:history="1">
            <w:r w:rsidR="00F03E3F" w:rsidRPr="00B54445">
              <w:rPr>
                <w:rStyle w:val="Hyperlink"/>
                <w:noProof/>
              </w:rPr>
              <w:t>Activity F: Track third next available appointment</w:t>
            </w:r>
            <w:r w:rsidR="00F03E3F">
              <w:rPr>
                <w:noProof/>
                <w:webHidden/>
              </w:rPr>
              <w:tab/>
            </w:r>
            <w:r w:rsidR="00F03E3F">
              <w:rPr>
                <w:noProof/>
                <w:webHidden/>
              </w:rPr>
              <w:fldChar w:fldCharType="begin"/>
            </w:r>
            <w:r w:rsidR="00F03E3F">
              <w:rPr>
                <w:noProof/>
                <w:webHidden/>
              </w:rPr>
              <w:instrText xml:space="preserve"> PAGEREF _Toc113888471 \h </w:instrText>
            </w:r>
            <w:r w:rsidR="00F03E3F">
              <w:rPr>
                <w:noProof/>
                <w:webHidden/>
              </w:rPr>
            </w:r>
            <w:r w:rsidR="00F03E3F">
              <w:rPr>
                <w:noProof/>
                <w:webHidden/>
              </w:rPr>
              <w:fldChar w:fldCharType="separate"/>
            </w:r>
            <w:r w:rsidR="008008F3">
              <w:rPr>
                <w:noProof/>
                <w:webHidden/>
              </w:rPr>
              <w:t>10</w:t>
            </w:r>
            <w:r w:rsidR="00F03E3F">
              <w:rPr>
                <w:noProof/>
                <w:webHidden/>
              </w:rPr>
              <w:fldChar w:fldCharType="end"/>
            </w:r>
          </w:hyperlink>
        </w:p>
        <w:p w14:paraId="1B105506" w14:textId="0BF25F2A" w:rsidR="00F03E3F" w:rsidRDefault="00593366">
          <w:pPr>
            <w:pStyle w:val="TOC3"/>
            <w:rPr>
              <w:rFonts w:eastAsiaTheme="minorEastAsia" w:cstheme="minorBidi"/>
              <w:noProof/>
              <w:sz w:val="22"/>
              <w:szCs w:val="22"/>
            </w:rPr>
          </w:pPr>
          <w:hyperlink w:anchor="_Toc113888472" w:history="1">
            <w:r w:rsidR="00F03E3F" w:rsidRPr="00B54445">
              <w:rPr>
                <w:rStyle w:val="Hyperlink"/>
                <w:noProof/>
              </w:rPr>
              <w:t>Activity G: Care Plans for High Priority Patients</w:t>
            </w:r>
            <w:r w:rsidR="00F03E3F">
              <w:rPr>
                <w:noProof/>
                <w:webHidden/>
              </w:rPr>
              <w:tab/>
            </w:r>
            <w:r w:rsidR="00F03E3F">
              <w:rPr>
                <w:noProof/>
                <w:webHidden/>
              </w:rPr>
              <w:fldChar w:fldCharType="begin"/>
            </w:r>
            <w:r w:rsidR="00F03E3F">
              <w:rPr>
                <w:noProof/>
                <w:webHidden/>
              </w:rPr>
              <w:instrText xml:space="preserve"> PAGEREF _Toc113888472 \h </w:instrText>
            </w:r>
            <w:r w:rsidR="00F03E3F">
              <w:rPr>
                <w:noProof/>
                <w:webHidden/>
              </w:rPr>
            </w:r>
            <w:r w:rsidR="00F03E3F">
              <w:rPr>
                <w:noProof/>
                <w:webHidden/>
              </w:rPr>
              <w:fldChar w:fldCharType="separate"/>
            </w:r>
            <w:r w:rsidR="008008F3">
              <w:rPr>
                <w:noProof/>
                <w:webHidden/>
              </w:rPr>
              <w:t>11</w:t>
            </w:r>
            <w:r w:rsidR="00F03E3F">
              <w:rPr>
                <w:noProof/>
                <w:webHidden/>
              </w:rPr>
              <w:fldChar w:fldCharType="end"/>
            </w:r>
          </w:hyperlink>
        </w:p>
        <w:p w14:paraId="5C9A96FA" w14:textId="6C3976A4" w:rsidR="00F03E3F" w:rsidRDefault="00593366">
          <w:pPr>
            <w:pStyle w:val="TOC3"/>
            <w:rPr>
              <w:rFonts w:eastAsiaTheme="minorEastAsia" w:cstheme="minorBidi"/>
              <w:noProof/>
              <w:sz w:val="22"/>
              <w:szCs w:val="22"/>
            </w:rPr>
          </w:pPr>
          <w:hyperlink w:anchor="_Toc113888473" w:history="1">
            <w:r w:rsidR="00F03E3F" w:rsidRPr="00B54445">
              <w:rPr>
                <w:rStyle w:val="Hyperlink"/>
                <w:noProof/>
              </w:rPr>
              <w:t>Activity H: Patient Literacy Assessment Tool</w:t>
            </w:r>
            <w:r w:rsidR="00F03E3F">
              <w:rPr>
                <w:noProof/>
                <w:webHidden/>
              </w:rPr>
              <w:tab/>
            </w:r>
            <w:r w:rsidR="00F03E3F">
              <w:rPr>
                <w:noProof/>
                <w:webHidden/>
              </w:rPr>
              <w:fldChar w:fldCharType="begin"/>
            </w:r>
            <w:r w:rsidR="00F03E3F">
              <w:rPr>
                <w:noProof/>
                <w:webHidden/>
              </w:rPr>
              <w:instrText xml:space="preserve"> PAGEREF _Toc113888473 \h </w:instrText>
            </w:r>
            <w:r w:rsidR="00F03E3F">
              <w:rPr>
                <w:noProof/>
                <w:webHidden/>
              </w:rPr>
            </w:r>
            <w:r w:rsidR="00F03E3F">
              <w:rPr>
                <w:noProof/>
                <w:webHidden/>
              </w:rPr>
              <w:fldChar w:fldCharType="separate"/>
            </w:r>
            <w:r w:rsidR="008008F3">
              <w:rPr>
                <w:noProof/>
                <w:webHidden/>
              </w:rPr>
              <w:t>13</w:t>
            </w:r>
            <w:r w:rsidR="00F03E3F">
              <w:rPr>
                <w:noProof/>
                <w:webHidden/>
              </w:rPr>
              <w:fldChar w:fldCharType="end"/>
            </w:r>
          </w:hyperlink>
        </w:p>
        <w:p w14:paraId="319EDFD2" w14:textId="73896E1B" w:rsidR="00F03E3F" w:rsidRDefault="00593366">
          <w:pPr>
            <w:pStyle w:val="TOC3"/>
            <w:rPr>
              <w:rFonts w:eastAsiaTheme="minorEastAsia" w:cstheme="minorBidi"/>
              <w:noProof/>
              <w:sz w:val="22"/>
              <w:szCs w:val="22"/>
            </w:rPr>
          </w:pPr>
          <w:hyperlink w:anchor="_Toc113888474" w:history="1">
            <w:r w:rsidR="00F03E3F" w:rsidRPr="00B54445">
              <w:rPr>
                <w:rStyle w:val="Hyperlink"/>
                <w:noProof/>
              </w:rPr>
              <w:t>Activity I:  Patient and Family Engagement</w:t>
            </w:r>
            <w:r w:rsidR="00F03E3F">
              <w:rPr>
                <w:noProof/>
                <w:webHidden/>
              </w:rPr>
              <w:tab/>
            </w:r>
            <w:r w:rsidR="00F03E3F">
              <w:rPr>
                <w:noProof/>
                <w:webHidden/>
              </w:rPr>
              <w:fldChar w:fldCharType="begin"/>
            </w:r>
            <w:r w:rsidR="00F03E3F">
              <w:rPr>
                <w:noProof/>
                <w:webHidden/>
              </w:rPr>
              <w:instrText xml:space="preserve"> PAGEREF _Toc113888474 \h </w:instrText>
            </w:r>
            <w:r w:rsidR="00F03E3F">
              <w:rPr>
                <w:noProof/>
                <w:webHidden/>
              </w:rPr>
            </w:r>
            <w:r w:rsidR="00F03E3F">
              <w:rPr>
                <w:noProof/>
                <w:webHidden/>
              </w:rPr>
              <w:fldChar w:fldCharType="separate"/>
            </w:r>
            <w:r w:rsidR="008008F3">
              <w:rPr>
                <w:noProof/>
                <w:webHidden/>
              </w:rPr>
              <w:t>14</w:t>
            </w:r>
            <w:r w:rsidR="00F03E3F">
              <w:rPr>
                <w:noProof/>
                <w:webHidden/>
              </w:rPr>
              <w:fldChar w:fldCharType="end"/>
            </w:r>
          </w:hyperlink>
        </w:p>
        <w:p w14:paraId="36FD3D74" w14:textId="7A51FDD0" w:rsidR="00F03E3F" w:rsidRDefault="00593366">
          <w:pPr>
            <w:pStyle w:val="TOC3"/>
            <w:rPr>
              <w:rFonts w:eastAsiaTheme="minorEastAsia" w:cstheme="minorBidi"/>
              <w:noProof/>
              <w:sz w:val="22"/>
              <w:szCs w:val="22"/>
            </w:rPr>
          </w:pPr>
          <w:hyperlink w:anchor="_Toc113888475" w:history="1">
            <w:r w:rsidR="00F03E3F" w:rsidRPr="00B54445">
              <w:rPr>
                <w:rStyle w:val="Hyperlink"/>
                <w:noProof/>
              </w:rPr>
              <w:t>Activity J: Care Instructions for High Priority Patients</w:t>
            </w:r>
            <w:r w:rsidR="00F03E3F">
              <w:rPr>
                <w:noProof/>
                <w:webHidden/>
              </w:rPr>
              <w:tab/>
            </w:r>
            <w:r w:rsidR="00F03E3F">
              <w:rPr>
                <w:noProof/>
                <w:webHidden/>
              </w:rPr>
              <w:fldChar w:fldCharType="begin"/>
            </w:r>
            <w:r w:rsidR="00F03E3F">
              <w:rPr>
                <w:noProof/>
                <w:webHidden/>
              </w:rPr>
              <w:instrText xml:space="preserve"> PAGEREF _Toc113888475 \h </w:instrText>
            </w:r>
            <w:r w:rsidR="00F03E3F">
              <w:rPr>
                <w:noProof/>
                <w:webHidden/>
              </w:rPr>
            </w:r>
            <w:r w:rsidR="00F03E3F">
              <w:rPr>
                <w:noProof/>
                <w:webHidden/>
              </w:rPr>
              <w:fldChar w:fldCharType="separate"/>
            </w:r>
            <w:r w:rsidR="008008F3">
              <w:rPr>
                <w:noProof/>
                <w:webHidden/>
              </w:rPr>
              <w:t>15</w:t>
            </w:r>
            <w:r w:rsidR="00F03E3F">
              <w:rPr>
                <w:noProof/>
                <w:webHidden/>
              </w:rPr>
              <w:fldChar w:fldCharType="end"/>
            </w:r>
          </w:hyperlink>
        </w:p>
        <w:p w14:paraId="2C2B4D87" w14:textId="36830614" w:rsidR="00F03E3F" w:rsidRDefault="00593366">
          <w:pPr>
            <w:pStyle w:val="TOC3"/>
            <w:rPr>
              <w:rFonts w:eastAsiaTheme="minorEastAsia" w:cstheme="minorBidi"/>
              <w:noProof/>
              <w:sz w:val="22"/>
              <w:szCs w:val="22"/>
            </w:rPr>
          </w:pPr>
          <w:hyperlink w:anchor="_Toc113888476" w:history="1">
            <w:r w:rsidR="00F03E3F" w:rsidRPr="00B54445">
              <w:rPr>
                <w:rStyle w:val="Hyperlink"/>
                <w:noProof/>
              </w:rPr>
              <w:t>Activity K: Social Determinants of Health</w:t>
            </w:r>
            <w:r w:rsidR="00F03E3F">
              <w:rPr>
                <w:noProof/>
                <w:webHidden/>
              </w:rPr>
              <w:tab/>
            </w:r>
            <w:r w:rsidR="00F03E3F">
              <w:rPr>
                <w:noProof/>
                <w:webHidden/>
              </w:rPr>
              <w:fldChar w:fldCharType="begin"/>
            </w:r>
            <w:r w:rsidR="00F03E3F">
              <w:rPr>
                <w:noProof/>
                <w:webHidden/>
              </w:rPr>
              <w:instrText xml:space="preserve"> PAGEREF _Toc113888476 \h </w:instrText>
            </w:r>
            <w:r w:rsidR="00F03E3F">
              <w:rPr>
                <w:noProof/>
                <w:webHidden/>
              </w:rPr>
            </w:r>
            <w:r w:rsidR="00F03E3F">
              <w:rPr>
                <w:noProof/>
                <w:webHidden/>
              </w:rPr>
              <w:fldChar w:fldCharType="separate"/>
            </w:r>
            <w:r w:rsidR="008008F3">
              <w:rPr>
                <w:noProof/>
                <w:webHidden/>
              </w:rPr>
              <w:t>15</w:t>
            </w:r>
            <w:r w:rsidR="00F03E3F">
              <w:rPr>
                <w:noProof/>
                <w:webHidden/>
              </w:rPr>
              <w:fldChar w:fldCharType="end"/>
            </w:r>
          </w:hyperlink>
        </w:p>
        <w:p w14:paraId="144A0B56" w14:textId="5B8D0E4C" w:rsidR="00F03E3F" w:rsidRDefault="00593366">
          <w:pPr>
            <w:pStyle w:val="TOC2"/>
            <w:tabs>
              <w:tab w:val="right" w:leader="dot" w:pos="9350"/>
            </w:tabs>
            <w:rPr>
              <w:rFonts w:eastAsiaTheme="minorEastAsia" w:cstheme="minorBidi"/>
              <w:i w:val="0"/>
              <w:iCs w:val="0"/>
              <w:noProof/>
              <w:sz w:val="22"/>
              <w:szCs w:val="22"/>
            </w:rPr>
          </w:pPr>
          <w:hyperlink w:anchor="_Toc113888477" w:history="1">
            <w:r w:rsidR="00F03E3F" w:rsidRPr="00B54445">
              <w:rPr>
                <w:rStyle w:val="Hyperlink"/>
                <w:noProof/>
              </w:rPr>
              <w:t>Low Performance Core Metrics for the 2023 Performance Period</w:t>
            </w:r>
            <w:r w:rsidR="00F03E3F">
              <w:rPr>
                <w:noProof/>
                <w:webHidden/>
              </w:rPr>
              <w:tab/>
            </w:r>
            <w:r w:rsidR="00F03E3F">
              <w:rPr>
                <w:noProof/>
                <w:webHidden/>
              </w:rPr>
              <w:fldChar w:fldCharType="begin"/>
            </w:r>
            <w:r w:rsidR="00F03E3F">
              <w:rPr>
                <w:noProof/>
                <w:webHidden/>
              </w:rPr>
              <w:instrText xml:space="preserve"> PAGEREF _Toc113888477 \h </w:instrText>
            </w:r>
            <w:r w:rsidR="00F03E3F">
              <w:rPr>
                <w:noProof/>
                <w:webHidden/>
              </w:rPr>
            </w:r>
            <w:r w:rsidR="00F03E3F">
              <w:rPr>
                <w:noProof/>
                <w:webHidden/>
              </w:rPr>
              <w:fldChar w:fldCharType="separate"/>
            </w:r>
            <w:r w:rsidR="008008F3">
              <w:rPr>
                <w:noProof/>
                <w:webHidden/>
              </w:rPr>
              <w:t>17</w:t>
            </w:r>
            <w:r w:rsidR="00F03E3F">
              <w:rPr>
                <w:noProof/>
                <w:webHidden/>
              </w:rPr>
              <w:fldChar w:fldCharType="end"/>
            </w:r>
          </w:hyperlink>
        </w:p>
        <w:p w14:paraId="77A1AD2B" w14:textId="4D6A5C11" w:rsidR="00F03E3F" w:rsidRDefault="00593366">
          <w:pPr>
            <w:pStyle w:val="TOC1"/>
            <w:rPr>
              <w:rFonts w:eastAsiaTheme="minorEastAsia" w:cstheme="minorBidi"/>
              <w:b w:val="0"/>
              <w:bCs w:val="0"/>
              <w:noProof/>
              <w:sz w:val="22"/>
              <w:szCs w:val="22"/>
            </w:rPr>
          </w:pPr>
          <w:hyperlink w:anchor="_Toc113888478" w:history="1">
            <w:r w:rsidR="00F03E3F" w:rsidRPr="00B54445">
              <w:rPr>
                <w:rStyle w:val="Hyperlink"/>
                <w:noProof/>
              </w:rPr>
              <w:t>243.000</w:t>
            </w:r>
            <w:r w:rsidR="00F03E3F">
              <w:rPr>
                <w:rFonts w:eastAsiaTheme="minorEastAsia" w:cstheme="minorBidi"/>
                <w:b w:val="0"/>
                <w:bCs w:val="0"/>
                <w:noProof/>
                <w:sz w:val="22"/>
                <w:szCs w:val="22"/>
              </w:rPr>
              <w:tab/>
            </w:r>
            <w:r w:rsidR="00F03E3F" w:rsidRPr="00B54445">
              <w:rPr>
                <w:rStyle w:val="Hyperlink"/>
                <w:noProof/>
              </w:rPr>
              <w:t>Quality Metrics Tracked for Performance Based Incentive Payments</w:t>
            </w:r>
            <w:r w:rsidR="00F03E3F">
              <w:rPr>
                <w:noProof/>
                <w:webHidden/>
              </w:rPr>
              <w:tab/>
            </w:r>
            <w:r w:rsidR="00F03E3F">
              <w:rPr>
                <w:noProof/>
                <w:webHidden/>
              </w:rPr>
              <w:fldChar w:fldCharType="begin"/>
            </w:r>
            <w:r w:rsidR="00F03E3F">
              <w:rPr>
                <w:noProof/>
                <w:webHidden/>
              </w:rPr>
              <w:instrText xml:space="preserve"> PAGEREF _Toc113888478 \h </w:instrText>
            </w:r>
            <w:r w:rsidR="00F03E3F">
              <w:rPr>
                <w:noProof/>
                <w:webHidden/>
              </w:rPr>
            </w:r>
            <w:r w:rsidR="00F03E3F">
              <w:rPr>
                <w:noProof/>
                <w:webHidden/>
              </w:rPr>
              <w:fldChar w:fldCharType="separate"/>
            </w:r>
            <w:r w:rsidR="008008F3">
              <w:rPr>
                <w:noProof/>
                <w:webHidden/>
              </w:rPr>
              <w:t>21</w:t>
            </w:r>
            <w:r w:rsidR="00F03E3F">
              <w:rPr>
                <w:noProof/>
                <w:webHidden/>
              </w:rPr>
              <w:fldChar w:fldCharType="end"/>
            </w:r>
          </w:hyperlink>
        </w:p>
        <w:p w14:paraId="107D3D0A" w14:textId="045AC595" w:rsidR="00F03E3F" w:rsidRDefault="00593366">
          <w:pPr>
            <w:pStyle w:val="TOC2"/>
            <w:tabs>
              <w:tab w:val="right" w:leader="dot" w:pos="9350"/>
            </w:tabs>
            <w:rPr>
              <w:rFonts w:eastAsiaTheme="minorEastAsia" w:cstheme="minorBidi"/>
              <w:i w:val="0"/>
              <w:iCs w:val="0"/>
              <w:noProof/>
              <w:sz w:val="22"/>
              <w:szCs w:val="22"/>
            </w:rPr>
          </w:pPr>
          <w:hyperlink w:anchor="_Toc113888479" w:history="1">
            <w:r w:rsidR="00F03E3F" w:rsidRPr="00B54445">
              <w:rPr>
                <w:rStyle w:val="Hyperlink"/>
                <w:noProof/>
              </w:rPr>
              <w:t>Informational Metrics</w:t>
            </w:r>
            <w:r w:rsidR="00F03E3F">
              <w:rPr>
                <w:noProof/>
                <w:webHidden/>
              </w:rPr>
              <w:tab/>
            </w:r>
            <w:r w:rsidR="00F03E3F">
              <w:rPr>
                <w:noProof/>
                <w:webHidden/>
              </w:rPr>
              <w:fldChar w:fldCharType="begin"/>
            </w:r>
            <w:r w:rsidR="00F03E3F">
              <w:rPr>
                <w:noProof/>
                <w:webHidden/>
              </w:rPr>
              <w:instrText xml:space="preserve"> PAGEREF _Toc113888479 \h </w:instrText>
            </w:r>
            <w:r w:rsidR="00F03E3F">
              <w:rPr>
                <w:noProof/>
                <w:webHidden/>
              </w:rPr>
            </w:r>
            <w:r w:rsidR="00F03E3F">
              <w:rPr>
                <w:noProof/>
                <w:webHidden/>
              </w:rPr>
              <w:fldChar w:fldCharType="separate"/>
            </w:r>
            <w:r w:rsidR="008008F3">
              <w:rPr>
                <w:noProof/>
                <w:webHidden/>
              </w:rPr>
              <w:t>25</w:t>
            </w:r>
            <w:r w:rsidR="00F03E3F">
              <w:rPr>
                <w:noProof/>
                <w:webHidden/>
              </w:rPr>
              <w:fldChar w:fldCharType="end"/>
            </w:r>
          </w:hyperlink>
        </w:p>
        <w:p w14:paraId="6921240D" w14:textId="2F9B6A32" w:rsidR="00A25996" w:rsidRPr="008717EF" w:rsidRDefault="004B3490" w:rsidP="00367E6A">
          <w:pPr>
            <w:pStyle w:val="TOC3"/>
          </w:pPr>
          <w:r w:rsidRPr="008717EF">
            <w:rPr>
              <w:bCs/>
            </w:rPr>
            <w:fldChar w:fldCharType="end"/>
          </w:r>
        </w:p>
      </w:sdtContent>
    </w:sdt>
    <w:p w14:paraId="7422E480" w14:textId="77777777" w:rsidR="00A25996" w:rsidRPr="008717EF" w:rsidRDefault="00A25996" w:rsidP="003225AE">
      <w:pPr>
        <w:spacing w:line="360" w:lineRule="auto"/>
        <w:sectPr w:rsidR="00A25996" w:rsidRPr="008717EF" w:rsidSect="00BB1ECF">
          <w:headerReference w:type="even" r:id="rId14"/>
          <w:headerReference w:type="default" r:id="rId15"/>
          <w:footerReference w:type="default" r:id="rId16"/>
          <w:headerReference w:type="first" r:id="rId17"/>
          <w:pgSz w:w="12240" w:h="15840"/>
          <w:pgMar w:top="1440" w:right="1440" w:bottom="1440" w:left="1440" w:header="720" w:footer="720" w:gutter="0"/>
          <w:pgNumType w:fmt="lowerRoman" w:start="1"/>
          <w:cols w:space="720"/>
          <w:docGrid w:linePitch="360"/>
        </w:sectPr>
      </w:pPr>
    </w:p>
    <w:p w14:paraId="677FCE61" w14:textId="4B58A10B" w:rsidR="00A25996" w:rsidRPr="008717EF" w:rsidRDefault="00A25996" w:rsidP="003225AE">
      <w:pPr>
        <w:pStyle w:val="Heading1"/>
        <w:tabs>
          <w:tab w:val="clear" w:pos="720"/>
        </w:tabs>
        <w:spacing w:before="120" w:line="360" w:lineRule="auto"/>
        <w:rPr>
          <w:color w:val="002060"/>
        </w:rPr>
      </w:pPr>
      <w:bookmarkStart w:id="18" w:name="_Toc256000001"/>
      <w:bookmarkStart w:id="19" w:name="_Toc421617525"/>
      <w:bookmarkStart w:id="20" w:name="_Toc416869354"/>
      <w:bookmarkStart w:id="21" w:name="_Toc419804497"/>
      <w:bookmarkStart w:id="22" w:name="_Toc504043892"/>
      <w:bookmarkStart w:id="23" w:name="_Toc519170515"/>
      <w:bookmarkStart w:id="24" w:name="_Toc113888449"/>
      <w:r w:rsidRPr="008717EF">
        <w:rPr>
          <w:color w:val="002060"/>
        </w:rPr>
        <w:lastRenderedPageBreak/>
        <w:t>223.000</w:t>
      </w:r>
      <w:r w:rsidRPr="008717EF">
        <w:rPr>
          <w:color w:val="002060"/>
        </w:rPr>
        <w:tab/>
      </w:r>
      <w:bookmarkEnd w:id="18"/>
      <w:bookmarkEnd w:id="19"/>
      <w:bookmarkEnd w:id="20"/>
      <w:bookmarkEnd w:id="21"/>
      <w:bookmarkEnd w:id="22"/>
      <w:r w:rsidRPr="008717EF">
        <w:rPr>
          <w:color w:val="002060"/>
        </w:rPr>
        <w:t>Explanation of Care Coordination Payments</w:t>
      </w:r>
      <w:bookmarkStart w:id="25" w:name="_Toc425465633"/>
      <w:bookmarkStart w:id="26" w:name="_Toc419804498"/>
      <w:bookmarkStart w:id="27" w:name="_Toc418592294"/>
      <w:bookmarkStart w:id="28" w:name="_Toc415601641"/>
      <w:bookmarkStart w:id="29" w:name="_Toc415230469"/>
      <w:bookmarkStart w:id="30" w:name="_Toc421617526"/>
      <w:bookmarkStart w:id="31" w:name="_Toc256000002"/>
      <w:bookmarkEnd w:id="23"/>
      <w:bookmarkEnd w:id="24"/>
    </w:p>
    <w:p w14:paraId="5579C20F" w14:textId="2830FF1E" w:rsidR="00A25996" w:rsidRPr="008717EF" w:rsidRDefault="00A25996" w:rsidP="003225AE">
      <w:pPr>
        <w:pStyle w:val="Heading2"/>
        <w:numPr>
          <w:ilvl w:val="0"/>
          <w:numId w:val="0"/>
        </w:numPr>
        <w:spacing w:before="120" w:line="360" w:lineRule="auto"/>
      </w:pPr>
      <w:bookmarkStart w:id="32" w:name="_Toc519170516"/>
      <w:bookmarkStart w:id="33" w:name="_Toc113888450"/>
      <w:r w:rsidRPr="008717EF">
        <w:t>Determination of Beneficiary Risk</w:t>
      </w:r>
      <w:bookmarkEnd w:id="32"/>
      <w:bookmarkEnd w:id="33"/>
    </w:p>
    <w:p w14:paraId="3B168A4C" w14:textId="23128475" w:rsidR="00A25996" w:rsidRPr="008717EF" w:rsidRDefault="00A25996" w:rsidP="00425466">
      <w:pPr>
        <w:pStyle w:val="ListParagraph"/>
      </w:pPr>
      <w:r w:rsidRPr="008717EF">
        <w:t>A Risk Utilization Band (RUB) score is calculated for all of the participating practices</w:t>
      </w:r>
      <w:r w:rsidR="00AC540F" w:rsidRPr="008717EF">
        <w:t>’</w:t>
      </w:r>
      <w:r w:rsidRPr="008717EF">
        <w:t xml:space="preserve"> </w:t>
      </w:r>
      <w:r w:rsidR="00831DF2" w:rsidRPr="008717EF">
        <w:t>6</w:t>
      </w:r>
      <w:r w:rsidR="0093381C" w:rsidRPr="008717EF">
        <w:t>-</w:t>
      </w:r>
      <w:r w:rsidR="00831DF2" w:rsidRPr="008717EF">
        <w:t xml:space="preserve">month </w:t>
      </w:r>
      <w:r w:rsidRPr="008717EF">
        <w:t>attributed beneficiaries at the end of the preceding calendar year using the Johns Hopkins ACG® Grouper System, a tool for performing risk measurement and case mix categorization (</w:t>
      </w:r>
      <w:hyperlink r:id="rId18" w:history="1">
        <w:r w:rsidRPr="00425466">
          <w:rPr>
            <w:rStyle w:val="Hyperlink"/>
            <w:rFonts w:ascii="Arial" w:hAnsi="Arial"/>
            <w:sz w:val="20"/>
          </w:rPr>
          <w:t>http://acg.jhsph.org</w:t>
        </w:r>
      </w:hyperlink>
      <w:r w:rsidRPr="008717EF">
        <w:t>).</w:t>
      </w:r>
    </w:p>
    <w:p w14:paraId="6AC45F12" w14:textId="386A521D" w:rsidR="00A25996" w:rsidRPr="008717EF" w:rsidRDefault="00A25996" w:rsidP="00425466">
      <w:pPr>
        <w:pStyle w:val="ListParagraph"/>
      </w:pPr>
      <w:r w:rsidRPr="008717EF">
        <w:t xml:space="preserve">For </w:t>
      </w:r>
      <w:r w:rsidR="00A01FB2" w:rsidRPr="008717EF">
        <w:t>6</w:t>
      </w:r>
      <w:r w:rsidR="0093381C" w:rsidRPr="008717EF">
        <w:t>-</w:t>
      </w:r>
      <w:r w:rsidR="00A01FB2" w:rsidRPr="008717EF">
        <w:t xml:space="preserve">month </w:t>
      </w:r>
      <w:r w:rsidRPr="008717EF">
        <w:t>attributed beneficiaries with no claims history</w:t>
      </w:r>
      <w:bookmarkStart w:id="34" w:name="_Ref519002497"/>
      <w:r w:rsidRPr="008717EF">
        <w:rPr>
          <w:rStyle w:val="FootnoteReference"/>
        </w:rPr>
        <w:footnoteReference w:id="1"/>
      </w:r>
      <w:bookmarkEnd w:id="34"/>
      <w:r w:rsidRPr="008717EF">
        <w:t>, a RUB score of 0 is assigned.</w:t>
      </w:r>
    </w:p>
    <w:p w14:paraId="72E853C9" w14:textId="1F74647D" w:rsidR="00A25996" w:rsidRPr="008717EF" w:rsidRDefault="00A25996" w:rsidP="003225AE">
      <w:pPr>
        <w:pStyle w:val="Heading2"/>
        <w:numPr>
          <w:ilvl w:val="0"/>
          <w:numId w:val="0"/>
        </w:numPr>
        <w:spacing w:before="120" w:line="360" w:lineRule="auto"/>
      </w:pPr>
      <w:bookmarkStart w:id="35" w:name="_Toc519170517"/>
      <w:bookmarkStart w:id="36" w:name="_Toc113888451"/>
      <w:r w:rsidRPr="008717EF">
        <w:t>Per Beneficiary Per Month (PBPM) Amounts</w:t>
      </w:r>
      <w:bookmarkEnd w:id="35"/>
      <w:bookmarkEnd w:id="36"/>
    </w:p>
    <w:p w14:paraId="55E33FB4" w14:textId="6DB9F054" w:rsidR="00A25996" w:rsidRPr="008717EF" w:rsidRDefault="00A25996" w:rsidP="00425466">
      <w:r w:rsidRPr="008717EF">
        <w:t xml:space="preserve">A per beneficiary per month </w:t>
      </w:r>
      <w:r w:rsidR="0093381C" w:rsidRPr="008717EF">
        <w:t xml:space="preserve">(PBPM) </w:t>
      </w:r>
      <w:r w:rsidRPr="008717EF">
        <w:t>amount is assigned based upon each beneficiary’s RUB score in the table below.</w:t>
      </w:r>
    </w:p>
    <w:p w14:paraId="0A0FB5A2" w14:textId="77777777" w:rsidR="00A25996" w:rsidRPr="008717EF" w:rsidRDefault="00A25996" w:rsidP="003225AE">
      <w:pPr>
        <w:spacing w:line="360" w:lineRule="auto"/>
        <w:rPr>
          <w:lang w:eastAsia="ja-JP"/>
        </w:rPr>
      </w:pPr>
    </w:p>
    <w:tbl>
      <w:tblPr>
        <w:tblStyle w:val="TableGrid"/>
        <w:tblW w:w="0" w:type="auto"/>
        <w:jc w:val="center"/>
        <w:tblLook w:val="04A0" w:firstRow="1" w:lastRow="0" w:firstColumn="1" w:lastColumn="0" w:noHBand="0" w:noVBand="1"/>
      </w:tblPr>
      <w:tblGrid>
        <w:gridCol w:w="1217"/>
        <w:gridCol w:w="1528"/>
      </w:tblGrid>
      <w:tr w:rsidR="00A25996" w:rsidRPr="008717EF" w14:paraId="2B186122" w14:textId="77777777" w:rsidTr="00BB1ECF">
        <w:trPr>
          <w:cantSplit/>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002060"/>
            <w:hideMark/>
          </w:tcPr>
          <w:p w14:paraId="17B7C825" w14:textId="77777777" w:rsidR="00A25996" w:rsidRPr="008717EF" w:rsidRDefault="00A25996" w:rsidP="003225AE">
            <w:pPr>
              <w:pStyle w:val="TableHeading"/>
              <w:spacing w:before="120" w:after="120" w:line="360" w:lineRule="auto"/>
            </w:pPr>
            <w:r w:rsidRPr="008717EF">
              <w:t>RUB Score</w:t>
            </w:r>
          </w:p>
        </w:tc>
        <w:tc>
          <w:tcPr>
            <w:tcW w:w="0" w:type="auto"/>
            <w:tcBorders>
              <w:top w:val="single" w:sz="4" w:space="0" w:color="auto"/>
              <w:left w:val="single" w:sz="4" w:space="0" w:color="auto"/>
              <w:bottom w:val="single" w:sz="4" w:space="0" w:color="auto"/>
              <w:right w:val="single" w:sz="4" w:space="0" w:color="auto"/>
            </w:tcBorders>
            <w:shd w:val="clear" w:color="auto" w:fill="002060"/>
            <w:hideMark/>
          </w:tcPr>
          <w:p w14:paraId="0085E114" w14:textId="77777777" w:rsidR="00A25996" w:rsidRPr="008717EF" w:rsidRDefault="00A25996" w:rsidP="003225AE">
            <w:pPr>
              <w:pStyle w:val="TableHeading"/>
              <w:spacing w:before="120" w:after="120" w:line="360" w:lineRule="auto"/>
            </w:pPr>
            <w:r w:rsidRPr="008717EF">
              <w:t>PBPM Amount</w:t>
            </w:r>
          </w:p>
        </w:tc>
      </w:tr>
      <w:tr w:rsidR="00A25996" w:rsidRPr="008717EF" w14:paraId="4525FEE2" w14:textId="77777777" w:rsidTr="00BB1ECF">
        <w:trPr>
          <w:cantSplit/>
          <w:jc w:val="center"/>
        </w:trPr>
        <w:tc>
          <w:tcPr>
            <w:tcW w:w="0" w:type="auto"/>
            <w:tcBorders>
              <w:top w:val="single" w:sz="4" w:space="0" w:color="auto"/>
              <w:left w:val="single" w:sz="4" w:space="0" w:color="auto"/>
              <w:bottom w:val="single" w:sz="4" w:space="0" w:color="auto"/>
              <w:right w:val="single" w:sz="4" w:space="0" w:color="auto"/>
            </w:tcBorders>
          </w:tcPr>
          <w:p w14:paraId="615316EA" w14:textId="77777777" w:rsidR="00A25996" w:rsidRPr="008717EF" w:rsidRDefault="00A25996" w:rsidP="00DB29A6">
            <w:pPr>
              <w:pStyle w:val="TableText"/>
            </w:pPr>
            <w:r w:rsidRPr="008717EF">
              <w:t>0</w:t>
            </w:r>
          </w:p>
        </w:tc>
        <w:tc>
          <w:tcPr>
            <w:tcW w:w="0" w:type="auto"/>
            <w:tcBorders>
              <w:top w:val="single" w:sz="4" w:space="0" w:color="auto"/>
              <w:left w:val="single" w:sz="4" w:space="0" w:color="auto"/>
              <w:bottom w:val="single" w:sz="4" w:space="0" w:color="auto"/>
              <w:right w:val="single" w:sz="4" w:space="0" w:color="auto"/>
            </w:tcBorders>
          </w:tcPr>
          <w:p w14:paraId="4BA2F1E0" w14:textId="77777777" w:rsidR="00A25996" w:rsidRPr="008717EF" w:rsidRDefault="00A25996" w:rsidP="00DB29A6">
            <w:pPr>
              <w:pStyle w:val="TableText"/>
            </w:pPr>
            <w:r w:rsidRPr="008717EF">
              <w:t>$1</w:t>
            </w:r>
          </w:p>
        </w:tc>
      </w:tr>
      <w:tr w:rsidR="00A25996" w:rsidRPr="008717EF" w14:paraId="28B2EEB9" w14:textId="77777777" w:rsidTr="00BB1ECF">
        <w:trPr>
          <w:cantSplit/>
          <w:jc w:val="center"/>
        </w:trPr>
        <w:tc>
          <w:tcPr>
            <w:tcW w:w="0" w:type="auto"/>
            <w:tcBorders>
              <w:top w:val="single" w:sz="4" w:space="0" w:color="auto"/>
              <w:left w:val="single" w:sz="4" w:space="0" w:color="auto"/>
              <w:bottom w:val="single" w:sz="4" w:space="0" w:color="auto"/>
              <w:right w:val="single" w:sz="4" w:space="0" w:color="auto"/>
            </w:tcBorders>
          </w:tcPr>
          <w:p w14:paraId="5DAFFC24" w14:textId="77777777" w:rsidR="00A25996" w:rsidRPr="008717EF" w:rsidRDefault="00A25996" w:rsidP="00DB29A6">
            <w:pPr>
              <w:pStyle w:val="TableText"/>
            </w:pPr>
            <w:r w:rsidRPr="008717EF">
              <w:t>1</w:t>
            </w:r>
          </w:p>
        </w:tc>
        <w:tc>
          <w:tcPr>
            <w:tcW w:w="0" w:type="auto"/>
            <w:tcBorders>
              <w:top w:val="single" w:sz="4" w:space="0" w:color="auto"/>
              <w:left w:val="single" w:sz="4" w:space="0" w:color="auto"/>
              <w:bottom w:val="single" w:sz="4" w:space="0" w:color="auto"/>
              <w:right w:val="single" w:sz="4" w:space="0" w:color="auto"/>
            </w:tcBorders>
          </w:tcPr>
          <w:p w14:paraId="4368DB54" w14:textId="77777777" w:rsidR="00A25996" w:rsidRPr="008717EF" w:rsidRDefault="00A25996" w:rsidP="00DB29A6">
            <w:pPr>
              <w:pStyle w:val="TableText"/>
            </w:pPr>
            <w:r w:rsidRPr="008717EF">
              <w:t>$1</w:t>
            </w:r>
          </w:p>
        </w:tc>
      </w:tr>
      <w:tr w:rsidR="00A25996" w:rsidRPr="008717EF" w14:paraId="58FEC370" w14:textId="77777777" w:rsidTr="00BB1ECF">
        <w:trPr>
          <w:cantSplit/>
          <w:jc w:val="center"/>
        </w:trPr>
        <w:tc>
          <w:tcPr>
            <w:tcW w:w="0" w:type="auto"/>
            <w:tcBorders>
              <w:top w:val="single" w:sz="4" w:space="0" w:color="auto"/>
              <w:left w:val="single" w:sz="4" w:space="0" w:color="auto"/>
              <w:bottom w:val="single" w:sz="4" w:space="0" w:color="auto"/>
              <w:right w:val="single" w:sz="4" w:space="0" w:color="auto"/>
            </w:tcBorders>
          </w:tcPr>
          <w:p w14:paraId="737CF470" w14:textId="77777777" w:rsidR="00A25996" w:rsidRPr="008717EF" w:rsidRDefault="00A25996" w:rsidP="00DB29A6">
            <w:pPr>
              <w:pStyle w:val="TableText"/>
            </w:pPr>
            <w:r w:rsidRPr="008717EF">
              <w:t>2</w:t>
            </w:r>
          </w:p>
        </w:tc>
        <w:tc>
          <w:tcPr>
            <w:tcW w:w="0" w:type="auto"/>
            <w:tcBorders>
              <w:top w:val="single" w:sz="4" w:space="0" w:color="auto"/>
              <w:left w:val="single" w:sz="4" w:space="0" w:color="auto"/>
              <w:bottom w:val="single" w:sz="4" w:space="0" w:color="auto"/>
              <w:right w:val="single" w:sz="4" w:space="0" w:color="auto"/>
            </w:tcBorders>
          </w:tcPr>
          <w:p w14:paraId="1BBA6699" w14:textId="77777777" w:rsidR="00A25996" w:rsidRPr="008717EF" w:rsidRDefault="00A25996" w:rsidP="00DB29A6">
            <w:pPr>
              <w:pStyle w:val="TableText"/>
            </w:pPr>
            <w:r w:rsidRPr="008717EF">
              <w:t>$3</w:t>
            </w:r>
          </w:p>
        </w:tc>
      </w:tr>
      <w:tr w:rsidR="00A25996" w:rsidRPr="008717EF" w14:paraId="0A5C960D" w14:textId="77777777" w:rsidTr="00BB1ECF">
        <w:trPr>
          <w:cantSplit/>
          <w:jc w:val="center"/>
        </w:trPr>
        <w:tc>
          <w:tcPr>
            <w:tcW w:w="0" w:type="auto"/>
            <w:tcBorders>
              <w:top w:val="single" w:sz="4" w:space="0" w:color="auto"/>
              <w:left w:val="single" w:sz="4" w:space="0" w:color="auto"/>
              <w:bottom w:val="single" w:sz="4" w:space="0" w:color="auto"/>
              <w:right w:val="single" w:sz="4" w:space="0" w:color="auto"/>
            </w:tcBorders>
          </w:tcPr>
          <w:p w14:paraId="409C80F2" w14:textId="77777777" w:rsidR="00A25996" w:rsidRPr="008717EF" w:rsidRDefault="00A25996" w:rsidP="00DB29A6">
            <w:pPr>
              <w:pStyle w:val="TableText"/>
            </w:pPr>
            <w:r w:rsidRPr="008717EF">
              <w:t>3</w:t>
            </w:r>
          </w:p>
        </w:tc>
        <w:tc>
          <w:tcPr>
            <w:tcW w:w="0" w:type="auto"/>
            <w:tcBorders>
              <w:top w:val="single" w:sz="4" w:space="0" w:color="auto"/>
              <w:left w:val="single" w:sz="4" w:space="0" w:color="auto"/>
              <w:bottom w:val="single" w:sz="4" w:space="0" w:color="auto"/>
              <w:right w:val="single" w:sz="4" w:space="0" w:color="auto"/>
            </w:tcBorders>
          </w:tcPr>
          <w:p w14:paraId="4F0B94E9" w14:textId="77777777" w:rsidR="00A25996" w:rsidRPr="008717EF" w:rsidRDefault="00A25996" w:rsidP="00DB29A6">
            <w:pPr>
              <w:pStyle w:val="TableText"/>
            </w:pPr>
            <w:r w:rsidRPr="008717EF">
              <w:t>$5</w:t>
            </w:r>
          </w:p>
        </w:tc>
      </w:tr>
      <w:tr w:rsidR="00A25996" w:rsidRPr="008717EF" w14:paraId="77C57AB8" w14:textId="77777777" w:rsidTr="00BB1ECF">
        <w:trPr>
          <w:cantSplit/>
          <w:jc w:val="center"/>
        </w:trPr>
        <w:tc>
          <w:tcPr>
            <w:tcW w:w="0" w:type="auto"/>
            <w:tcBorders>
              <w:top w:val="single" w:sz="4" w:space="0" w:color="auto"/>
              <w:left w:val="single" w:sz="4" w:space="0" w:color="auto"/>
              <w:bottom w:val="single" w:sz="4" w:space="0" w:color="auto"/>
              <w:right w:val="single" w:sz="4" w:space="0" w:color="auto"/>
            </w:tcBorders>
          </w:tcPr>
          <w:p w14:paraId="1CF51750" w14:textId="77777777" w:rsidR="00A25996" w:rsidRPr="008717EF" w:rsidRDefault="00A25996" w:rsidP="00DB29A6">
            <w:pPr>
              <w:pStyle w:val="TableText"/>
            </w:pPr>
            <w:r w:rsidRPr="008717EF">
              <w:t>4</w:t>
            </w:r>
          </w:p>
        </w:tc>
        <w:tc>
          <w:tcPr>
            <w:tcW w:w="0" w:type="auto"/>
            <w:tcBorders>
              <w:top w:val="single" w:sz="4" w:space="0" w:color="auto"/>
              <w:left w:val="single" w:sz="4" w:space="0" w:color="auto"/>
              <w:bottom w:val="single" w:sz="4" w:space="0" w:color="auto"/>
              <w:right w:val="single" w:sz="4" w:space="0" w:color="auto"/>
            </w:tcBorders>
          </w:tcPr>
          <w:p w14:paraId="018C2073" w14:textId="77777777" w:rsidR="00A25996" w:rsidRPr="008717EF" w:rsidRDefault="00A25996" w:rsidP="00DB29A6">
            <w:pPr>
              <w:pStyle w:val="TableText"/>
            </w:pPr>
            <w:r w:rsidRPr="008717EF">
              <w:t>$10</w:t>
            </w:r>
          </w:p>
        </w:tc>
      </w:tr>
      <w:tr w:rsidR="00A25996" w:rsidRPr="008717EF" w14:paraId="1D93A479" w14:textId="77777777" w:rsidTr="00BB1ECF">
        <w:trPr>
          <w:cantSplit/>
          <w:jc w:val="center"/>
        </w:trPr>
        <w:tc>
          <w:tcPr>
            <w:tcW w:w="0" w:type="auto"/>
            <w:tcBorders>
              <w:top w:val="single" w:sz="4" w:space="0" w:color="auto"/>
              <w:left w:val="single" w:sz="4" w:space="0" w:color="auto"/>
              <w:bottom w:val="single" w:sz="4" w:space="0" w:color="auto"/>
              <w:right w:val="single" w:sz="4" w:space="0" w:color="auto"/>
            </w:tcBorders>
          </w:tcPr>
          <w:p w14:paraId="6E01E5B8" w14:textId="77777777" w:rsidR="00A25996" w:rsidRPr="008717EF" w:rsidRDefault="00A25996" w:rsidP="00DB29A6">
            <w:pPr>
              <w:pStyle w:val="TableText"/>
            </w:pPr>
            <w:r w:rsidRPr="008717EF">
              <w:t>5</w:t>
            </w:r>
          </w:p>
        </w:tc>
        <w:tc>
          <w:tcPr>
            <w:tcW w:w="0" w:type="auto"/>
            <w:tcBorders>
              <w:top w:val="single" w:sz="4" w:space="0" w:color="auto"/>
              <w:left w:val="single" w:sz="4" w:space="0" w:color="auto"/>
              <w:bottom w:val="single" w:sz="4" w:space="0" w:color="auto"/>
              <w:right w:val="single" w:sz="4" w:space="0" w:color="auto"/>
            </w:tcBorders>
          </w:tcPr>
          <w:p w14:paraId="59D6B968" w14:textId="77777777" w:rsidR="00A25996" w:rsidRPr="008717EF" w:rsidRDefault="00A25996" w:rsidP="00DB29A6">
            <w:pPr>
              <w:pStyle w:val="TableText"/>
            </w:pPr>
            <w:r w:rsidRPr="008717EF">
              <w:t>$30</w:t>
            </w:r>
          </w:p>
        </w:tc>
      </w:tr>
    </w:tbl>
    <w:p w14:paraId="441979B1" w14:textId="77777777" w:rsidR="00A25996" w:rsidRPr="008717EF" w:rsidRDefault="00A25996" w:rsidP="003225AE">
      <w:pPr>
        <w:spacing w:line="360" w:lineRule="auto"/>
        <w:rPr>
          <w:lang w:eastAsia="ja-JP"/>
        </w:rPr>
      </w:pPr>
    </w:p>
    <w:p w14:paraId="205E5CEF" w14:textId="274979C2" w:rsidR="00A25996" w:rsidRPr="008717EF" w:rsidRDefault="00A25996" w:rsidP="00465CD7">
      <w:pPr>
        <w:pStyle w:val="ListParagraph"/>
        <w:numPr>
          <w:ilvl w:val="0"/>
          <w:numId w:val="29"/>
        </w:numPr>
      </w:pPr>
      <w:r w:rsidRPr="008717EF">
        <w:t xml:space="preserve">For attributed beneficiaries with fewer than 6 months of </w:t>
      </w:r>
      <w:r w:rsidR="001B27B6" w:rsidRPr="008717EF">
        <w:t xml:space="preserve">PCCM </w:t>
      </w:r>
      <w:r w:rsidRPr="008717EF">
        <w:t xml:space="preserve">claims history (for whom no RUB is assigned), </w:t>
      </w:r>
      <w:r w:rsidR="003123C0" w:rsidRPr="008717EF">
        <w:t xml:space="preserve">which is point-in-time attributed (PITA) beneficiaries, </w:t>
      </w:r>
      <w:r w:rsidRPr="008717EF">
        <w:t xml:space="preserve">the </w:t>
      </w:r>
      <w:r w:rsidR="0093381C" w:rsidRPr="008717EF">
        <w:t>PBPM</w:t>
      </w:r>
      <w:r w:rsidRPr="008717EF">
        <w:t xml:space="preserve"> amount will be equal to that of the average </w:t>
      </w:r>
      <w:r w:rsidR="0093381C" w:rsidRPr="008717EF">
        <w:t>PBPM</w:t>
      </w:r>
      <w:r w:rsidRPr="008717EF">
        <w:t xml:space="preserve"> amount for that beneficiary’s demographic cohort (based on age and sex).</w:t>
      </w:r>
    </w:p>
    <w:p w14:paraId="5E359A64" w14:textId="08998F25" w:rsidR="00A25996" w:rsidRPr="008717EF" w:rsidRDefault="00A25996" w:rsidP="00465CD7">
      <w:pPr>
        <w:pStyle w:val="ListParagraph"/>
        <w:numPr>
          <w:ilvl w:val="0"/>
          <w:numId w:val="29"/>
        </w:numPr>
      </w:pPr>
      <w:r w:rsidRPr="008717EF">
        <w:t xml:space="preserve">The care coordination payment for each practice equals the average of the </w:t>
      </w:r>
      <w:r w:rsidR="0093381C" w:rsidRPr="008717EF">
        <w:t>PBPM</w:t>
      </w:r>
      <w:r w:rsidRPr="008717EF">
        <w:t xml:space="preserve"> amount for the practice’s </w:t>
      </w:r>
      <w:r w:rsidR="0093381C" w:rsidRPr="008717EF">
        <w:t xml:space="preserve">PITA </w:t>
      </w:r>
      <w:r w:rsidRPr="008717EF">
        <w:t xml:space="preserve">beneficiaries multiplied by the practice’s number of </w:t>
      </w:r>
      <w:r w:rsidR="0093381C" w:rsidRPr="008717EF">
        <w:t xml:space="preserve">PITA </w:t>
      </w:r>
      <w:r w:rsidRPr="008717EF">
        <w:t>beneficiaries</w:t>
      </w:r>
      <w:r w:rsidR="00AC540F" w:rsidRPr="008717EF">
        <w:t>.</w:t>
      </w:r>
      <w:bookmarkEnd w:id="25"/>
      <w:bookmarkEnd w:id="26"/>
      <w:bookmarkEnd w:id="27"/>
      <w:bookmarkEnd w:id="28"/>
      <w:bookmarkEnd w:id="29"/>
    </w:p>
    <w:p w14:paraId="179258C6" w14:textId="49654008" w:rsidR="00A25996" w:rsidRPr="008717EF" w:rsidRDefault="00A25996" w:rsidP="003225AE">
      <w:pPr>
        <w:pStyle w:val="Heading1"/>
        <w:tabs>
          <w:tab w:val="clear" w:pos="720"/>
        </w:tabs>
        <w:spacing w:before="120" w:line="360" w:lineRule="auto"/>
        <w:ind w:left="1440" w:hanging="1440"/>
        <w:rPr>
          <w:color w:val="002060"/>
        </w:rPr>
      </w:pPr>
      <w:bookmarkStart w:id="37" w:name="_235.000_Performance_Based"/>
      <w:bookmarkStart w:id="38" w:name="_Toc519170520"/>
      <w:bookmarkStart w:id="39" w:name="_Toc113888452"/>
      <w:bookmarkEnd w:id="37"/>
      <w:r w:rsidRPr="008717EF">
        <w:lastRenderedPageBreak/>
        <w:t>235.000</w:t>
      </w:r>
      <w:r w:rsidRPr="008717EF">
        <w:tab/>
        <w:t xml:space="preserve">Performance Based Incentive Payment Methodology — </w:t>
      </w:r>
      <w:r w:rsidRPr="008717EF">
        <w:rPr>
          <w:color w:val="002060"/>
        </w:rPr>
        <w:t xml:space="preserve">Exclusions from the Calculation of </w:t>
      </w:r>
      <w:r w:rsidR="001F7020" w:rsidRPr="008717EF">
        <w:rPr>
          <w:color w:val="002060"/>
        </w:rPr>
        <w:t>Emergency Department Utilization</w:t>
      </w:r>
      <w:r w:rsidRPr="008717EF">
        <w:rPr>
          <w:color w:val="002060"/>
        </w:rPr>
        <w:t xml:space="preserve"> and </w:t>
      </w:r>
      <w:bookmarkEnd w:id="38"/>
      <w:r w:rsidR="001F7020" w:rsidRPr="008717EF">
        <w:rPr>
          <w:color w:val="002060"/>
        </w:rPr>
        <w:t>Acute Hospital Utilization</w:t>
      </w:r>
      <w:bookmarkEnd w:id="39"/>
    </w:p>
    <w:p w14:paraId="7B6E0070" w14:textId="5353D6DD" w:rsidR="00A25996" w:rsidRPr="008717EF" w:rsidRDefault="00A25996" w:rsidP="003225AE">
      <w:pPr>
        <w:spacing w:line="360" w:lineRule="auto"/>
      </w:pPr>
    </w:p>
    <w:p w14:paraId="44D93496" w14:textId="30E0F61A" w:rsidR="00B21D43" w:rsidRPr="008717EF" w:rsidRDefault="00B21D43" w:rsidP="003225AE">
      <w:pPr>
        <w:pStyle w:val="Heading2"/>
        <w:numPr>
          <w:ilvl w:val="0"/>
          <w:numId w:val="0"/>
        </w:numPr>
        <w:spacing w:before="120" w:line="360" w:lineRule="auto"/>
      </w:pPr>
      <w:bookmarkStart w:id="40" w:name="_Toc113888453"/>
      <w:r w:rsidRPr="008717EF">
        <w:t>Emergency Department Utilization (EDU)</w:t>
      </w:r>
      <w:r w:rsidR="00CC450C" w:rsidRPr="008717EF">
        <w:t xml:space="preserve"> </w:t>
      </w:r>
      <w:r w:rsidRPr="008717EF">
        <w:t>—</w:t>
      </w:r>
      <w:r w:rsidR="00CC450C" w:rsidRPr="008717EF">
        <w:t xml:space="preserve"> </w:t>
      </w:r>
      <w:r w:rsidRPr="008717EF">
        <w:t>HEDIS</w:t>
      </w:r>
      <w:r w:rsidR="00B55506" w:rsidRPr="008717EF">
        <w:rPr>
          <w:rStyle w:val="FootnoteReference"/>
        </w:rPr>
        <w:footnoteReference w:id="2"/>
      </w:r>
      <w:r w:rsidRPr="008717EF">
        <w:t xml:space="preserve"> Exclusions</w:t>
      </w:r>
      <w:bookmarkEnd w:id="40"/>
    </w:p>
    <w:p w14:paraId="5D79735E" w14:textId="047647F7" w:rsidR="009700E4" w:rsidRPr="008717EF" w:rsidRDefault="009700E4" w:rsidP="00425466">
      <w:pPr>
        <w:pStyle w:val="ListParagraph"/>
        <w:numPr>
          <w:ilvl w:val="0"/>
          <w:numId w:val="22"/>
        </w:numPr>
      </w:pPr>
      <w:r w:rsidRPr="008717EF">
        <w:t>Emergency Department visits that result in an inpatient stay</w:t>
      </w:r>
    </w:p>
    <w:p w14:paraId="7BD762BD" w14:textId="22DEEEBC" w:rsidR="00CC450C" w:rsidRPr="008717EF" w:rsidRDefault="00CC450C" w:rsidP="00425466">
      <w:pPr>
        <w:pStyle w:val="ListParagraph"/>
        <w:numPr>
          <w:ilvl w:val="0"/>
          <w:numId w:val="22"/>
        </w:numPr>
      </w:pPr>
      <w:r w:rsidRPr="008717EF">
        <w:t>A principal diagnosis of mental health or chemical dependency</w:t>
      </w:r>
    </w:p>
    <w:p w14:paraId="10F3E0A7" w14:textId="3DE8E46F" w:rsidR="00CC450C" w:rsidRPr="008717EF" w:rsidRDefault="00CC450C" w:rsidP="00425466">
      <w:pPr>
        <w:pStyle w:val="ListParagraph"/>
        <w:numPr>
          <w:ilvl w:val="0"/>
          <w:numId w:val="22"/>
        </w:numPr>
      </w:pPr>
      <w:r w:rsidRPr="008717EF">
        <w:t>Psychiatry</w:t>
      </w:r>
    </w:p>
    <w:p w14:paraId="76FE2109" w14:textId="3958BE35" w:rsidR="00CC450C" w:rsidRPr="008717EF" w:rsidRDefault="00CC450C" w:rsidP="00425466">
      <w:pPr>
        <w:pStyle w:val="ListParagraph"/>
        <w:numPr>
          <w:ilvl w:val="0"/>
          <w:numId w:val="22"/>
        </w:numPr>
      </w:pPr>
      <w:r w:rsidRPr="008717EF">
        <w:t>Electroconvulsive therapy</w:t>
      </w:r>
    </w:p>
    <w:p w14:paraId="72232759" w14:textId="123492AC" w:rsidR="00CC450C" w:rsidRPr="008717EF" w:rsidRDefault="00CC450C" w:rsidP="00425466">
      <w:pPr>
        <w:pStyle w:val="ListParagraph"/>
        <w:numPr>
          <w:ilvl w:val="0"/>
          <w:numId w:val="22"/>
        </w:numPr>
      </w:pPr>
      <w:r w:rsidRPr="008717EF">
        <w:t>Hospice beneficiaries</w:t>
      </w:r>
    </w:p>
    <w:p w14:paraId="67813341" w14:textId="20719383" w:rsidR="00B21D43" w:rsidRPr="008717EF" w:rsidRDefault="00B21D43" w:rsidP="003225AE">
      <w:pPr>
        <w:pStyle w:val="Heading2"/>
        <w:numPr>
          <w:ilvl w:val="0"/>
          <w:numId w:val="0"/>
        </w:numPr>
        <w:spacing w:before="120" w:line="360" w:lineRule="auto"/>
      </w:pPr>
      <w:bookmarkStart w:id="41" w:name="_Toc113888454"/>
      <w:r w:rsidRPr="008717EF">
        <w:t>Acute Hospital Utilization (AHU) — HEDIS</w:t>
      </w:r>
      <w:r w:rsidR="0001747D" w:rsidRPr="008717EF">
        <w:rPr>
          <w:vertAlign w:val="superscript"/>
        </w:rPr>
        <w:t>2</w:t>
      </w:r>
      <w:r w:rsidRPr="008717EF">
        <w:t xml:space="preserve"> Exclusions</w:t>
      </w:r>
      <w:bookmarkEnd w:id="41"/>
    </w:p>
    <w:p w14:paraId="16392538" w14:textId="0FDD4321" w:rsidR="00B85F09" w:rsidRPr="008717EF" w:rsidRDefault="00B85F09" w:rsidP="00425466">
      <w:pPr>
        <w:pStyle w:val="ListParagraph"/>
        <w:numPr>
          <w:ilvl w:val="0"/>
          <w:numId w:val="20"/>
        </w:numPr>
      </w:pPr>
      <w:r w:rsidRPr="008717EF">
        <w:t>Nonacute inpatient st</w:t>
      </w:r>
      <w:r w:rsidR="002F48A8" w:rsidRPr="008717EF">
        <w:t>a</w:t>
      </w:r>
      <w:r w:rsidRPr="008717EF">
        <w:t>y</w:t>
      </w:r>
    </w:p>
    <w:p w14:paraId="62984377" w14:textId="28CB692B" w:rsidR="00B21D43" w:rsidRPr="008717EF" w:rsidRDefault="00B21D43" w:rsidP="00425466">
      <w:pPr>
        <w:pStyle w:val="ListParagraph"/>
        <w:numPr>
          <w:ilvl w:val="0"/>
          <w:numId w:val="20"/>
        </w:numPr>
      </w:pPr>
      <w:r w:rsidRPr="008717EF">
        <w:t>A principal diagnosis of mental health</w:t>
      </w:r>
      <w:r w:rsidR="00205D08" w:rsidRPr="008717EF">
        <w:t>,</w:t>
      </w:r>
      <w:r w:rsidRPr="008717EF">
        <w:t xml:space="preserve"> chemical dependency</w:t>
      </w:r>
      <w:r w:rsidR="00205D08" w:rsidRPr="008717EF">
        <w:t>, or intentional self-harm</w:t>
      </w:r>
    </w:p>
    <w:p w14:paraId="066119EE" w14:textId="03301F5F" w:rsidR="00B21D43" w:rsidRPr="008717EF" w:rsidRDefault="00B21D43" w:rsidP="00425466">
      <w:pPr>
        <w:pStyle w:val="ListParagraph"/>
        <w:numPr>
          <w:ilvl w:val="0"/>
          <w:numId w:val="20"/>
        </w:numPr>
      </w:pPr>
      <w:r w:rsidRPr="008717EF">
        <w:t>A principal diagnosis of live-born infant</w:t>
      </w:r>
    </w:p>
    <w:p w14:paraId="562C6FF0" w14:textId="498F8345" w:rsidR="00B21D43" w:rsidRPr="008717EF" w:rsidRDefault="00B21D43" w:rsidP="00425466">
      <w:pPr>
        <w:pStyle w:val="ListParagraph"/>
        <w:numPr>
          <w:ilvl w:val="0"/>
          <w:numId w:val="20"/>
        </w:numPr>
      </w:pPr>
      <w:r w:rsidRPr="008717EF">
        <w:t xml:space="preserve">A maternity-related </w:t>
      </w:r>
      <w:r w:rsidR="00205D08" w:rsidRPr="008717EF">
        <w:t xml:space="preserve">or specific weeks of gestation </w:t>
      </w:r>
      <w:r w:rsidRPr="008717EF">
        <w:t>principal diagnosis</w:t>
      </w:r>
    </w:p>
    <w:p w14:paraId="01CF3809" w14:textId="23947039" w:rsidR="00B21D43" w:rsidRPr="008717EF" w:rsidRDefault="00B21D43" w:rsidP="00425466">
      <w:pPr>
        <w:pStyle w:val="ListParagraph"/>
        <w:numPr>
          <w:ilvl w:val="0"/>
          <w:numId w:val="20"/>
        </w:numPr>
      </w:pPr>
      <w:r w:rsidRPr="008717EF">
        <w:t>A maternity-related stay</w:t>
      </w:r>
    </w:p>
    <w:p w14:paraId="05A56FB0" w14:textId="355F9081" w:rsidR="00B21D43" w:rsidRPr="008717EF" w:rsidRDefault="00B21D43" w:rsidP="00425466">
      <w:pPr>
        <w:pStyle w:val="ListParagraph"/>
        <w:numPr>
          <w:ilvl w:val="0"/>
          <w:numId w:val="20"/>
        </w:numPr>
      </w:pPr>
      <w:r w:rsidRPr="008717EF">
        <w:t xml:space="preserve">Inpatient </w:t>
      </w:r>
      <w:r w:rsidR="00415B59" w:rsidRPr="008717EF">
        <w:t xml:space="preserve">and observation </w:t>
      </w:r>
      <w:r w:rsidRPr="008717EF">
        <w:t>stays with a discharge for death</w:t>
      </w:r>
    </w:p>
    <w:p w14:paraId="79E56996" w14:textId="6624A6D2" w:rsidR="00CC450C" w:rsidRPr="008717EF" w:rsidRDefault="00B21D43" w:rsidP="00425466">
      <w:pPr>
        <w:pStyle w:val="ListParagraph"/>
        <w:numPr>
          <w:ilvl w:val="0"/>
          <w:numId w:val="20"/>
        </w:numPr>
      </w:pPr>
      <w:r w:rsidRPr="008717EF">
        <w:t>Hospice beneficiaries</w:t>
      </w:r>
    </w:p>
    <w:p w14:paraId="0B853800" w14:textId="7578F799" w:rsidR="00CC450C" w:rsidRPr="008717EF" w:rsidRDefault="00CC450C" w:rsidP="003225AE">
      <w:pPr>
        <w:pStyle w:val="Heading2"/>
        <w:numPr>
          <w:ilvl w:val="0"/>
          <w:numId w:val="0"/>
        </w:numPr>
        <w:spacing w:before="120" w:line="360" w:lineRule="auto"/>
        <w:ind w:left="576" w:hanging="576"/>
      </w:pPr>
      <w:bookmarkStart w:id="42" w:name="_Toc113888455"/>
      <w:r w:rsidRPr="008717EF">
        <w:t>PCMH Program-specific Exclusions</w:t>
      </w:r>
      <w:bookmarkEnd w:id="42"/>
    </w:p>
    <w:p w14:paraId="10C1FEBE" w14:textId="5098F633" w:rsidR="00CC450C" w:rsidRPr="008717EF" w:rsidRDefault="004048A8" w:rsidP="00425466">
      <w:pPr>
        <w:pStyle w:val="ListParagraph"/>
        <w:numPr>
          <w:ilvl w:val="0"/>
          <w:numId w:val="21"/>
        </w:numPr>
      </w:pPr>
      <w:r w:rsidRPr="008717EF">
        <w:t>Newborn Intensive Care Unit (</w:t>
      </w:r>
      <w:r w:rsidR="00CC450C" w:rsidRPr="008717EF">
        <w:t>NICU</w:t>
      </w:r>
      <w:r w:rsidRPr="008717EF">
        <w:t>)</w:t>
      </w:r>
      <w:r w:rsidR="00CC450C" w:rsidRPr="008717EF">
        <w:t xml:space="preserve"> stay</w:t>
      </w:r>
    </w:p>
    <w:p w14:paraId="1CC7EDA6" w14:textId="04E330DC" w:rsidR="00CC450C" w:rsidRPr="008717EF" w:rsidRDefault="00CC450C" w:rsidP="00425466">
      <w:pPr>
        <w:pStyle w:val="ListParagraph"/>
        <w:numPr>
          <w:ilvl w:val="0"/>
          <w:numId w:val="21"/>
        </w:numPr>
      </w:pPr>
      <w:r w:rsidRPr="008717EF">
        <w:t>Provider types excluded from total cost of care</w:t>
      </w:r>
    </w:p>
    <w:p w14:paraId="3043F214" w14:textId="7BF1F82F" w:rsidR="00457CD5" w:rsidRPr="008717EF" w:rsidRDefault="00457CD5" w:rsidP="00425466">
      <w:pPr>
        <w:pStyle w:val="ListParagraph"/>
        <w:numPr>
          <w:ilvl w:val="0"/>
          <w:numId w:val="21"/>
        </w:numPr>
        <w:rPr>
          <w:rFonts w:eastAsiaTheme="minorHAnsi"/>
        </w:rPr>
      </w:pPr>
      <w:r w:rsidRPr="008717EF">
        <w:t>Medically Frail beneficiaries</w:t>
      </w:r>
    </w:p>
    <w:p w14:paraId="5CDDD7C9" w14:textId="39ED2413" w:rsidR="008D1A87" w:rsidRPr="008717EF" w:rsidRDefault="00457CD5" w:rsidP="00425466">
      <w:pPr>
        <w:pStyle w:val="ListParagraph"/>
        <w:numPr>
          <w:ilvl w:val="0"/>
          <w:numId w:val="21"/>
        </w:numPr>
      </w:pPr>
      <w:r w:rsidRPr="008717EF">
        <w:t>Ph</w:t>
      </w:r>
      <w:r w:rsidR="009527E3" w:rsidRPr="008717EF">
        <w:t>ysician excluded beneficiaries</w:t>
      </w:r>
    </w:p>
    <w:p w14:paraId="1FE0BEED" w14:textId="496059C8" w:rsidR="008D1A87" w:rsidRPr="008717EF" w:rsidRDefault="008D1A87" w:rsidP="00425466">
      <w:pPr>
        <w:pStyle w:val="ListParagraph"/>
        <w:numPr>
          <w:ilvl w:val="0"/>
          <w:numId w:val="21"/>
        </w:numPr>
      </w:pPr>
      <w:r w:rsidRPr="008717EF">
        <w:t>Unknown gender</w:t>
      </w:r>
    </w:p>
    <w:p w14:paraId="62CBEB7E" w14:textId="22E55808" w:rsidR="00A25996" w:rsidRDefault="00A25996" w:rsidP="003225AE">
      <w:pPr>
        <w:spacing w:line="360" w:lineRule="auto"/>
        <w:rPr>
          <w:lang w:eastAsia="ja-JP"/>
        </w:rPr>
      </w:pPr>
      <w:r w:rsidRPr="008717EF">
        <w:rPr>
          <w:lang w:eastAsia="ja-JP"/>
        </w:rPr>
        <w:br w:type="page"/>
      </w:r>
    </w:p>
    <w:p w14:paraId="44163211" w14:textId="5FB54B1C" w:rsidR="00A25996" w:rsidRPr="008717EF" w:rsidRDefault="00A25996" w:rsidP="003225AE">
      <w:pPr>
        <w:pStyle w:val="Heading1"/>
        <w:tabs>
          <w:tab w:val="clear" w:pos="720"/>
        </w:tabs>
        <w:spacing w:before="120" w:line="360" w:lineRule="auto"/>
      </w:pPr>
      <w:bookmarkStart w:id="43" w:name="_Toc519170523"/>
      <w:bookmarkStart w:id="44" w:name="_Toc113888456"/>
      <w:r w:rsidRPr="008717EF">
        <w:lastRenderedPageBreak/>
        <w:t>236.000</w:t>
      </w:r>
      <w:r w:rsidRPr="008717EF">
        <w:tab/>
        <w:t xml:space="preserve">Incentive Focus </w:t>
      </w:r>
      <w:bookmarkEnd w:id="43"/>
      <w:r w:rsidR="00CB6E40" w:rsidRPr="008717EF">
        <w:t>Measure</w:t>
      </w:r>
      <w:bookmarkEnd w:id="44"/>
    </w:p>
    <w:tbl>
      <w:tblPr>
        <w:tblStyle w:val="TableGrid"/>
        <w:tblW w:w="0" w:type="auto"/>
        <w:jc w:val="center"/>
        <w:tblCellMar>
          <w:left w:w="72" w:type="dxa"/>
          <w:right w:w="72" w:type="dxa"/>
        </w:tblCellMar>
        <w:tblLook w:val="04A0" w:firstRow="1" w:lastRow="0" w:firstColumn="1" w:lastColumn="0" w:noHBand="0" w:noVBand="1"/>
      </w:tblPr>
      <w:tblGrid>
        <w:gridCol w:w="841"/>
        <w:gridCol w:w="1302"/>
        <w:gridCol w:w="4153"/>
        <w:gridCol w:w="3054"/>
      </w:tblGrid>
      <w:tr w:rsidR="00A25996" w:rsidRPr="008717EF" w14:paraId="338B21EC" w14:textId="77777777" w:rsidTr="000C662E">
        <w:trPr>
          <w:trHeight w:val="47"/>
          <w:tblHeader/>
          <w:jc w:val="center"/>
        </w:trPr>
        <w:tc>
          <w:tcPr>
            <w:tcW w:w="843" w:type="dxa"/>
            <w:tcBorders>
              <w:bottom w:val="single" w:sz="4" w:space="0" w:color="auto"/>
            </w:tcBorders>
            <w:shd w:val="clear" w:color="auto" w:fill="002060"/>
            <w:vAlign w:val="center"/>
            <w:hideMark/>
          </w:tcPr>
          <w:p w14:paraId="5D0FD2EB" w14:textId="77777777" w:rsidR="00A25996" w:rsidRPr="008717EF" w:rsidRDefault="00A25996" w:rsidP="003225AE">
            <w:pPr>
              <w:spacing w:line="360" w:lineRule="auto"/>
              <w:jc w:val="center"/>
              <w:rPr>
                <w:color w:val="FFFFFF" w:themeColor="background1"/>
              </w:rPr>
            </w:pPr>
            <w:r w:rsidRPr="008717EF">
              <w:rPr>
                <w:color w:val="FFFFFF" w:themeColor="background1"/>
              </w:rPr>
              <w:t>Metric #</w:t>
            </w:r>
          </w:p>
        </w:tc>
        <w:tc>
          <w:tcPr>
            <w:tcW w:w="1303" w:type="dxa"/>
            <w:tcBorders>
              <w:bottom w:val="single" w:sz="4" w:space="0" w:color="auto"/>
            </w:tcBorders>
            <w:shd w:val="clear" w:color="auto" w:fill="002060"/>
            <w:vAlign w:val="center"/>
            <w:hideMark/>
          </w:tcPr>
          <w:p w14:paraId="431B7822" w14:textId="77777777" w:rsidR="00A25996" w:rsidRPr="008717EF" w:rsidRDefault="00A25996" w:rsidP="003225AE">
            <w:pPr>
              <w:spacing w:line="360" w:lineRule="auto"/>
              <w:jc w:val="center"/>
              <w:rPr>
                <w:color w:val="FFFFFF" w:themeColor="background1"/>
              </w:rPr>
            </w:pPr>
            <w:r w:rsidRPr="008717EF">
              <w:rPr>
                <w:color w:val="FFFFFF" w:themeColor="background1"/>
              </w:rPr>
              <w:t>Metric Name</w:t>
            </w:r>
          </w:p>
        </w:tc>
        <w:tc>
          <w:tcPr>
            <w:tcW w:w="4176" w:type="dxa"/>
            <w:tcBorders>
              <w:bottom w:val="single" w:sz="4" w:space="0" w:color="auto"/>
            </w:tcBorders>
            <w:shd w:val="clear" w:color="auto" w:fill="002060"/>
            <w:vAlign w:val="center"/>
            <w:hideMark/>
          </w:tcPr>
          <w:p w14:paraId="0FDC865F" w14:textId="77777777" w:rsidR="00A25996" w:rsidRPr="008717EF" w:rsidRDefault="00A25996" w:rsidP="003225AE">
            <w:pPr>
              <w:spacing w:line="360" w:lineRule="auto"/>
              <w:jc w:val="center"/>
              <w:rPr>
                <w:color w:val="FFFFFF" w:themeColor="background1"/>
              </w:rPr>
            </w:pPr>
            <w:r w:rsidRPr="008717EF">
              <w:rPr>
                <w:color w:val="FFFFFF" w:themeColor="background1"/>
              </w:rPr>
              <w:t>Description</w:t>
            </w:r>
          </w:p>
        </w:tc>
        <w:tc>
          <w:tcPr>
            <w:tcW w:w="0" w:type="auto"/>
            <w:tcBorders>
              <w:bottom w:val="single" w:sz="4" w:space="0" w:color="auto"/>
            </w:tcBorders>
            <w:shd w:val="clear" w:color="auto" w:fill="002060"/>
            <w:vAlign w:val="center"/>
            <w:hideMark/>
          </w:tcPr>
          <w:p w14:paraId="1A1BB212" w14:textId="499B3D79" w:rsidR="00A25996" w:rsidRPr="008717EF" w:rsidRDefault="00A25996" w:rsidP="003225AE">
            <w:pPr>
              <w:spacing w:line="360" w:lineRule="auto"/>
              <w:jc w:val="center"/>
              <w:rPr>
                <w:color w:val="FFFFFF" w:themeColor="background1"/>
              </w:rPr>
            </w:pPr>
            <w:r w:rsidRPr="008717EF">
              <w:rPr>
                <w:color w:val="FFFFFF" w:themeColor="background1"/>
              </w:rPr>
              <w:t>Minimum Attributed Beneficiaries</w:t>
            </w:r>
          </w:p>
        </w:tc>
      </w:tr>
      <w:tr w:rsidR="00A25996" w:rsidRPr="008717EF" w14:paraId="33100F4B" w14:textId="77777777" w:rsidTr="000C662E">
        <w:trPr>
          <w:trHeight w:val="540"/>
          <w:jc w:val="center"/>
        </w:trPr>
        <w:tc>
          <w:tcPr>
            <w:tcW w:w="843" w:type="dxa"/>
            <w:tcBorders>
              <w:bottom w:val="single" w:sz="4" w:space="0" w:color="auto"/>
            </w:tcBorders>
            <w:vAlign w:val="center"/>
            <w:hideMark/>
          </w:tcPr>
          <w:p w14:paraId="7BA13C36" w14:textId="77777777" w:rsidR="00A25996" w:rsidRPr="008717EF" w:rsidRDefault="00A25996" w:rsidP="003225AE">
            <w:pPr>
              <w:spacing w:line="360" w:lineRule="auto"/>
              <w:jc w:val="center"/>
            </w:pPr>
            <w:r w:rsidRPr="008717EF">
              <w:t>4</w:t>
            </w:r>
          </w:p>
        </w:tc>
        <w:tc>
          <w:tcPr>
            <w:tcW w:w="1303" w:type="dxa"/>
            <w:tcBorders>
              <w:bottom w:val="single" w:sz="4" w:space="0" w:color="auto"/>
            </w:tcBorders>
            <w:vAlign w:val="center"/>
            <w:hideMark/>
          </w:tcPr>
          <w:p w14:paraId="738FEFE1" w14:textId="5BF2FB92" w:rsidR="00A25996" w:rsidRPr="008717EF" w:rsidRDefault="00593366" w:rsidP="003225AE">
            <w:pPr>
              <w:spacing w:line="360" w:lineRule="auto"/>
            </w:pPr>
            <w:hyperlink w:anchor="_Metric_4:_Adolescent" w:history="1">
              <w:r w:rsidR="00DE3E27" w:rsidRPr="008717EF">
                <w:rPr>
                  <w:rStyle w:val="Hyperlink"/>
                  <w:rFonts w:ascii="Arial" w:hAnsi="Arial"/>
                  <w:sz w:val="20"/>
                </w:rPr>
                <w:t>Adolescent Well-Care Visits</w:t>
              </w:r>
            </w:hyperlink>
            <w:r w:rsidR="004B38A2" w:rsidRPr="008717EF">
              <w:rPr>
                <w:rStyle w:val="Hyperlink"/>
                <w:rFonts w:ascii="Arial" w:hAnsi="Arial"/>
                <w:sz w:val="20"/>
              </w:rPr>
              <w:t xml:space="preserve"> (Age 12-20)</w:t>
            </w:r>
          </w:p>
        </w:tc>
        <w:tc>
          <w:tcPr>
            <w:tcW w:w="4176" w:type="dxa"/>
            <w:tcBorders>
              <w:bottom w:val="single" w:sz="4" w:space="0" w:color="auto"/>
            </w:tcBorders>
            <w:vAlign w:val="center"/>
            <w:hideMark/>
          </w:tcPr>
          <w:p w14:paraId="73F28C23" w14:textId="66CBE6D6" w:rsidR="00A25996" w:rsidRPr="008717EF" w:rsidRDefault="00A25996" w:rsidP="003225AE">
            <w:pPr>
              <w:spacing w:line="360" w:lineRule="auto"/>
            </w:pPr>
            <w:r w:rsidRPr="008717EF">
              <w:t xml:space="preserve">Percentage of </w:t>
            </w:r>
            <w:r w:rsidR="00205D08" w:rsidRPr="008717EF">
              <w:t xml:space="preserve">non-pregnant </w:t>
            </w:r>
            <w:r w:rsidRPr="008717EF">
              <w:t xml:space="preserve">beneficiaries 12-20 years of age who had </w:t>
            </w:r>
            <w:r w:rsidR="004B38A2" w:rsidRPr="008717EF">
              <w:t xml:space="preserve">at least </w:t>
            </w:r>
            <w:r w:rsidRPr="008717EF">
              <w:t xml:space="preserve">one well-care visit during the measurement </w:t>
            </w:r>
            <w:r w:rsidR="004B38A2" w:rsidRPr="008717EF">
              <w:t>period.</w:t>
            </w:r>
          </w:p>
        </w:tc>
        <w:tc>
          <w:tcPr>
            <w:tcW w:w="0" w:type="auto"/>
            <w:tcBorders>
              <w:bottom w:val="single" w:sz="4" w:space="0" w:color="auto"/>
            </w:tcBorders>
            <w:noWrap/>
            <w:vAlign w:val="center"/>
            <w:hideMark/>
          </w:tcPr>
          <w:p w14:paraId="3AF70F3B" w14:textId="77777777" w:rsidR="00A25996" w:rsidRPr="008717EF" w:rsidRDefault="00A25996" w:rsidP="003225AE">
            <w:pPr>
              <w:spacing w:line="360" w:lineRule="auto"/>
              <w:jc w:val="center"/>
            </w:pPr>
            <w:r w:rsidRPr="008717EF">
              <w:rPr>
                <w:rFonts w:cs="Arial"/>
              </w:rPr>
              <w:t xml:space="preserve">≥ </w:t>
            </w:r>
            <w:r w:rsidRPr="008717EF">
              <w:t>25</w:t>
            </w:r>
          </w:p>
        </w:tc>
      </w:tr>
      <w:tr w:rsidR="00A25996" w:rsidRPr="008717EF" w14:paraId="297EE473" w14:textId="77777777" w:rsidTr="00BB1ECF">
        <w:trPr>
          <w:trHeight w:val="58"/>
          <w:jc w:val="center"/>
        </w:trPr>
        <w:tc>
          <w:tcPr>
            <w:tcW w:w="9350" w:type="dxa"/>
            <w:gridSpan w:val="4"/>
            <w:tcBorders>
              <w:top w:val="single" w:sz="4" w:space="0" w:color="auto"/>
              <w:left w:val="nil"/>
              <w:bottom w:val="nil"/>
              <w:right w:val="nil"/>
            </w:tcBorders>
            <w:vAlign w:val="center"/>
          </w:tcPr>
          <w:p w14:paraId="0A278751" w14:textId="69CD5DBD" w:rsidR="00A25996" w:rsidRPr="008717EF" w:rsidRDefault="00A25996" w:rsidP="003225AE">
            <w:pPr>
              <w:spacing w:line="360" w:lineRule="auto"/>
              <w:rPr>
                <w:rFonts w:cs="Arial"/>
              </w:rPr>
            </w:pPr>
          </w:p>
        </w:tc>
      </w:tr>
    </w:tbl>
    <w:p w14:paraId="52682753" w14:textId="76900023" w:rsidR="000C662E" w:rsidRPr="00AC7F3E" w:rsidRDefault="00603D7E" w:rsidP="000C662E">
      <w:pPr>
        <w:pStyle w:val="Heading2"/>
        <w:numPr>
          <w:ilvl w:val="0"/>
          <w:numId w:val="0"/>
        </w:numPr>
        <w:spacing w:before="120" w:line="360" w:lineRule="auto"/>
        <w:ind w:left="576" w:hanging="576"/>
        <w:rPr>
          <w:highlight w:val="yellow"/>
        </w:rPr>
      </w:pPr>
      <w:bookmarkStart w:id="45" w:name="_Toc113888457"/>
      <w:r>
        <w:rPr>
          <w:highlight w:val="yellow"/>
        </w:rPr>
        <w:t xml:space="preserve">Technical Specifications for </w:t>
      </w:r>
      <w:r w:rsidR="000C662E" w:rsidRPr="00AC7F3E">
        <w:rPr>
          <w:highlight w:val="yellow"/>
        </w:rPr>
        <w:t>Incentive Utilization Metrics Tracked for PBIP</w:t>
      </w:r>
      <w:bookmarkEnd w:id="45"/>
    </w:p>
    <w:p w14:paraId="3E3BE7DE" w14:textId="77777777" w:rsidR="00465CD7" w:rsidRPr="00EE1814" w:rsidRDefault="00465CD7" w:rsidP="00465CD7">
      <w:pPr>
        <w:pStyle w:val="Heading3"/>
        <w:numPr>
          <w:ilvl w:val="0"/>
          <w:numId w:val="0"/>
        </w:numPr>
        <w:spacing w:before="120" w:line="360" w:lineRule="auto"/>
        <w:ind w:left="1080" w:hanging="1080"/>
        <w:rPr>
          <w:highlight w:val="yellow"/>
        </w:rPr>
      </w:pPr>
      <w:bookmarkStart w:id="46" w:name="_Toc113888459"/>
      <w:r w:rsidRPr="00EE1814">
        <w:rPr>
          <w:highlight w:val="yellow"/>
        </w:rPr>
        <w:t>Metric 1: Emergency Department Utilization</w:t>
      </w:r>
      <w:bookmarkEnd w:id="46"/>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715"/>
        <w:gridCol w:w="2717"/>
        <w:gridCol w:w="2004"/>
        <w:gridCol w:w="1389"/>
        <w:gridCol w:w="1255"/>
      </w:tblGrid>
      <w:tr w:rsidR="00465CD7" w:rsidRPr="00EE1814" w14:paraId="5FF39E21" w14:textId="77777777" w:rsidTr="00777EA9">
        <w:trPr>
          <w:cantSplit/>
        </w:trPr>
        <w:tc>
          <w:tcPr>
            <w:tcW w:w="0" w:type="auto"/>
            <w:tcBorders>
              <w:top w:val="single" w:sz="4" w:space="0" w:color="auto"/>
              <w:left w:val="single" w:sz="4" w:space="0" w:color="auto"/>
              <w:bottom w:val="single" w:sz="4" w:space="0" w:color="auto"/>
              <w:right w:val="single" w:sz="4" w:space="0" w:color="auto"/>
            </w:tcBorders>
            <w:shd w:val="clear" w:color="auto" w:fill="002060"/>
            <w:vAlign w:val="center"/>
          </w:tcPr>
          <w:p w14:paraId="1B3B085E" w14:textId="77777777" w:rsidR="00465CD7" w:rsidRPr="00EE1814" w:rsidRDefault="00465CD7" w:rsidP="005E44AF">
            <w:pPr>
              <w:pStyle w:val="TableHeading"/>
              <w:spacing w:before="120" w:after="120" w:line="360" w:lineRule="auto"/>
              <w:rPr>
                <w:highlight w:val="yellow"/>
              </w:rPr>
            </w:pPr>
            <w:r w:rsidRPr="00EE1814">
              <w:rPr>
                <w:highlight w:val="yellow"/>
              </w:rPr>
              <w:t>Denominator</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42BCB406" w14:textId="77777777" w:rsidR="00465CD7" w:rsidRPr="00EE1814" w:rsidRDefault="00465CD7" w:rsidP="005E44AF">
            <w:pPr>
              <w:pStyle w:val="TableHeading"/>
              <w:spacing w:before="120" w:after="120" w:line="360" w:lineRule="auto"/>
              <w:rPr>
                <w:highlight w:val="yellow"/>
              </w:rPr>
            </w:pPr>
            <w:r w:rsidRPr="00EE1814">
              <w:rPr>
                <w:highlight w:val="yellow"/>
              </w:rPr>
              <w:t>Numerator</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tcPr>
          <w:p w14:paraId="5C5314A8" w14:textId="77777777" w:rsidR="00465CD7" w:rsidRPr="00EE1814" w:rsidRDefault="00465CD7" w:rsidP="005E44AF">
            <w:pPr>
              <w:pStyle w:val="TableHeading"/>
              <w:spacing w:before="120" w:after="120" w:line="360" w:lineRule="auto"/>
              <w:rPr>
                <w:highlight w:val="yellow"/>
              </w:rPr>
            </w:pPr>
            <w:r w:rsidRPr="00EE1814">
              <w:rPr>
                <w:highlight w:val="yellow"/>
              </w:rPr>
              <w:t>Category</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tcPr>
          <w:p w14:paraId="7A4C5FFF" w14:textId="77777777" w:rsidR="00465CD7" w:rsidRPr="00EE1814" w:rsidRDefault="00465CD7" w:rsidP="005E44AF">
            <w:pPr>
              <w:pStyle w:val="TableHeading"/>
              <w:spacing w:before="120" w:after="120" w:line="360" w:lineRule="auto"/>
              <w:rPr>
                <w:highlight w:val="yellow"/>
              </w:rPr>
            </w:pPr>
            <w:r w:rsidRPr="00EE1814">
              <w:rPr>
                <w:highlight w:val="yellow"/>
              </w:rPr>
              <w:t>Measure Steward</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tcPr>
          <w:p w14:paraId="5F0BBA36" w14:textId="77777777" w:rsidR="00465CD7" w:rsidRPr="00EE1814" w:rsidRDefault="00465CD7" w:rsidP="005E44AF">
            <w:pPr>
              <w:pStyle w:val="TableHeading"/>
              <w:spacing w:before="120" w:after="120" w:line="360" w:lineRule="auto"/>
              <w:rPr>
                <w:highlight w:val="yellow"/>
              </w:rPr>
            </w:pPr>
            <w:r w:rsidRPr="00EE1814">
              <w:rPr>
                <w:highlight w:val="yellow"/>
              </w:rPr>
              <w:t>Population Base</w:t>
            </w:r>
          </w:p>
        </w:tc>
      </w:tr>
      <w:tr w:rsidR="00465CD7" w:rsidRPr="00EE1814" w14:paraId="160E25A9" w14:textId="77777777" w:rsidTr="00777EA9">
        <w:trPr>
          <w:cantSplit/>
        </w:trPr>
        <w:tc>
          <w:tcPr>
            <w:tcW w:w="0" w:type="auto"/>
            <w:tcBorders>
              <w:top w:val="single" w:sz="4" w:space="0" w:color="auto"/>
              <w:left w:val="single" w:sz="4" w:space="0" w:color="auto"/>
              <w:bottom w:val="single" w:sz="4" w:space="0" w:color="auto"/>
              <w:right w:val="single" w:sz="4" w:space="0" w:color="auto"/>
            </w:tcBorders>
          </w:tcPr>
          <w:p w14:paraId="20064323" w14:textId="77777777" w:rsidR="00465CD7" w:rsidRPr="00EE1814" w:rsidRDefault="00465CD7" w:rsidP="005E44AF">
            <w:pPr>
              <w:pStyle w:val="TableText"/>
              <w:rPr>
                <w:highlight w:val="yellow"/>
              </w:rPr>
            </w:pPr>
            <w:r w:rsidRPr="00EE1814">
              <w:rPr>
                <w:highlight w:val="yellow"/>
              </w:rPr>
              <w:t>The number of expected ED visits during the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A65D1" w14:textId="77777777" w:rsidR="00465CD7" w:rsidRPr="00EE1814" w:rsidRDefault="00465CD7" w:rsidP="005E44AF">
            <w:pPr>
              <w:pStyle w:val="TableText"/>
              <w:rPr>
                <w:highlight w:val="yellow"/>
              </w:rPr>
            </w:pPr>
            <w:r w:rsidRPr="00EE1814">
              <w:rPr>
                <w:highlight w:val="yellow"/>
              </w:rPr>
              <w:t>The number of observed ED visits during the measurement period</w:t>
            </w:r>
          </w:p>
        </w:tc>
        <w:tc>
          <w:tcPr>
            <w:tcW w:w="0" w:type="auto"/>
            <w:tcBorders>
              <w:top w:val="single" w:sz="4" w:space="0" w:color="auto"/>
              <w:left w:val="nil"/>
              <w:bottom w:val="single" w:sz="4" w:space="0" w:color="auto"/>
              <w:right w:val="single" w:sz="4" w:space="0" w:color="auto"/>
            </w:tcBorders>
            <w:shd w:val="clear" w:color="auto" w:fill="auto"/>
          </w:tcPr>
          <w:p w14:paraId="6030BD12" w14:textId="77777777" w:rsidR="00465CD7" w:rsidRPr="00EE1814" w:rsidRDefault="00465CD7" w:rsidP="005E44AF">
            <w:pPr>
              <w:pStyle w:val="TableText"/>
              <w:rPr>
                <w:highlight w:val="yellow"/>
              </w:rPr>
            </w:pPr>
            <w:r w:rsidRPr="00EE1814">
              <w:rPr>
                <w:highlight w:val="yellow"/>
              </w:rPr>
              <w:t>Incentive Utilization Metric: EDU, PBIP Payment</w:t>
            </w:r>
          </w:p>
        </w:tc>
        <w:tc>
          <w:tcPr>
            <w:tcW w:w="0" w:type="auto"/>
            <w:tcBorders>
              <w:top w:val="single" w:sz="4" w:space="0" w:color="auto"/>
              <w:left w:val="nil"/>
              <w:bottom w:val="single" w:sz="4" w:space="0" w:color="auto"/>
              <w:right w:val="single" w:sz="4" w:space="0" w:color="auto"/>
            </w:tcBorders>
            <w:shd w:val="clear" w:color="auto" w:fill="auto"/>
          </w:tcPr>
          <w:p w14:paraId="48D23394" w14:textId="77777777" w:rsidR="00465CD7" w:rsidRPr="00EE1814" w:rsidRDefault="00465CD7" w:rsidP="005E44AF">
            <w:pPr>
              <w:pStyle w:val="TableText"/>
              <w:rPr>
                <w:highlight w:val="yellow"/>
              </w:rPr>
            </w:pPr>
            <w:r w:rsidRPr="00EE1814">
              <w:rPr>
                <w:highlight w:val="yellow"/>
              </w:rPr>
              <w:t>GDIT/NCQA</w:t>
            </w:r>
          </w:p>
        </w:tc>
        <w:tc>
          <w:tcPr>
            <w:tcW w:w="0" w:type="auto"/>
            <w:tcBorders>
              <w:top w:val="single" w:sz="4" w:space="0" w:color="auto"/>
              <w:left w:val="nil"/>
              <w:bottom w:val="single" w:sz="4" w:space="0" w:color="auto"/>
              <w:right w:val="single" w:sz="4" w:space="0" w:color="auto"/>
            </w:tcBorders>
            <w:shd w:val="clear" w:color="auto" w:fill="auto"/>
          </w:tcPr>
          <w:p w14:paraId="43119F04" w14:textId="77777777" w:rsidR="00465CD7" w:rsidRPr="00EE1814" w:rsidRDefault="00465CD7" w:rsidP="005E44AF">
            <w:pPr>
              <w:pStyle w:val="TableText"/>
              <w:rPr>
                <w:highlight w:val="yellow"/>
              </w:rPr>
            </w:pPr>
            <w:r w:rsidRPr="00EE1814">
              <w:rPr>
                <w:highlight w:val="yellow"/>
              </w:rPr>
              <w:t>Child/Adult</w:t>
            </w:r>
          </w:p>
        </w:tc>
      </w:tr>
    </w:tbl>
    <w:p w14:paraId="4682560D" w14:textId="77777777" w:rsidR="00465CD7" w:rsidRPr="00EE1814" w:rsidRDefault="00465CD7" w:rsidP="00465CD7">
      <w:pPr>
        <w:pStyle w:val="Heading3"/>
        <w:numPr>
          <w:ilvl w:val="0"/>
          <w:numId w:val="0"/>
        </w:numPr>
        <w:spacing w:before="120" w:line="360" w:lineRule="auto"/>
        <w:ind w:left="1080" w:hanging="1080"/>
        <w:rPr>
          <w:highlight w:val="yellow"/>
        </w:rPr>
      </w:pPr>
      <w:bookmarkStart w:id="47" w:name="_Toc113888460"/>
      <w:r w:rsidRPr="00EE1814">
        <w:rPr>
          <w:highlight w:val="yellow"/>
        </w:rPr>
        <w:t>Metric 2: Acute Hospitalization Utilization</w:t>
      </w:r>
      <w:bookmarkEnd w:id="47"/>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647"/>
        <w:gridCol w:w="2648"/>
        <w:gridCol w:w="1983"/>
        <w:gridCol w:w="1412"/>
        <w:gridCol w:w="1390"/>
      </w:tblGrid>
      <w:tr w:rsidR="00A93175" w:rsidRPr="00EE1814" w14:paraId="1BF59392" w14:textId="77777777" w:rsidTr="00A93175">
        <w:trPr>
          <w:cantSplit/>
        </w:trPr>
        <w:tc>
          <w:tcPr>
            <w:tcW w:w="2880" w:type="dxa"/>
            <w:tcBorders>
              <w:top w:val="single" w:sz="4" w:space="0" w:color="auto"/>
              <w:left w:val="single" w:sz="4" w:space="0" w:color="auto"/>
              <w:bottom w:val="single" w:sz="4" w:space="0" w:color="auto"/>
              <w:right w:val="single" w:sz="4" w:space="0" w:color="auto"/>
            </w:tcBorders>
            <w:shd w:val="clear" w:color="auto" w:fill="002060"/>
            <w:vAlign w:val="center"/>
          </w:tcPr>
          <w:p w14:paraId="112C0B2A" w14:textId="77777777" w:rsidR="00465CD7" w:rsidRPr="00EE1814" w:rsidRDefault="00465CD7" w:rsidP="005E44AF">
            <w:pPr>
              <w:pStyle w:val="TableHeading"/>
              <w:spacing w:before="120" w:after="120" w:line="360" w:lineRule="auto"/>
              <w:rPr>
                <w:highlight w:val="yellow"/>
              </w:rPr>
            </w:pPr>
            <w:r w:rsidRPr="00EE1814">
              <w:rPr>
                <w:highlight w:val="yellow"/>
              </w:rPr>
              <w:t>Denominator</w:t>
            </w:r>
          </w:p>
        </w:tc>
        <w:tc>
          <w:tcPr>
            <w:tcW w:w="28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1B506F3" w14:textId="77777777" w:rsidR="00465CD7" w:rsidRPr="00EE1814" w:rsidRDefault="00465CD7" w:rsidP="005E44AF">
            <w:pPr>
              <w:pStyle w:val="TableHeading"/>
              <w:spacing w:before="120" w:after="120" w:line="360" w:lineRule="auto"/>
              <w:rPr>
                <w:highlight w:val="yellow"/>
              </w:rPr>
            </w:pPr>
            <w:r w:rsidRPr="00EE1814">
              <w:rPr>
                <w:highlight w:val="yellow"/>
              </w:rPr>
              <w:t>Numerator</w:t>
            </w:r>
          </w:p>
        </w:tc>
        <w:tc>
          <w:tcPr>
            <w:tcW w:w="2160" w:type="dxa"/>
            <w:tcBorders>
              <w:top w:val="single" w:sz="4" w:space="0" w:color="auto"/>
              <w:left w:val="single" w:sz="4" w:space="0" w:color="auto"/>
              <w:bottom w:val="single" w:sz="4" w:space="0" w:color="auto"/>
              <w:right w:val="single" w:sz="4" w:space="0" w:color="auto"/>
            </w:tcBorders>
            <w:shd w:val="clear" w:color="auto" w:fill="002060"/>
            <w:vAlign w:val="center"/>
          </w:tcPr>
          <w:p w14:paraId="78D8770F" w14:textId="77777777" w:rsidR="00465CD7" w:rsidRPr="00EE1814" w:rsidRDefault="00465CD7" w:rsidP="005E44AF">
            <w:pPr>
              <w:pStyle w:val="TableHeading"/>
              <w:spacing w:before="120" w:after="120" w:line="360" w:lineRule="auto"/>
              <w:rPr>
                <w:highlight w:val="yellow"/>
              </w:rPr>
            </w:pPr>
            <w:r w:rsidRPr="00EE1814">
              <w:rPr>
                <w:highlight w:val="yellow"/>
              </w:rPr>
              <w:t>Category</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14:paraId="235C7209" w14:textId="77777777" w:rsidR="00465CD7" w:rsidRPr="00EE1814" w:rsidRDefault="00465CD7" w:rsidP="005E44AF">
            <w:pPr>
              <w:pStyle w:val="TableHeading"/>
              <w:spacing w:before="120" w:after="120" w:line="360" w:lineRule="auto"/>
              <w:rPr>
                <w:highlight w:val="yellow"/>
              </w:rPr>
            </w:pPr>
            <w:r w:rsidRPr="00EE1814">
              <w:rPr>
                <w:highlight w:val="yellow"/>
              </w:rPr>
              <w:t>Measure Steward</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14:paraId="2C8F9937" w14:textId="77777777" w:rsidR="00465CD7" w:rsidRPr="00EE1814" w:rsidRDefault="00465CD7" w:rsidP="005E44AF">
            <w:pPr>
              <w:pStyle w:val="TableHeading"/>
              <w:spacing w:before="120" w:after="120" w:line="360" w:lineRule="auto"/>
              <w:rPr>
                <w:highlight w:val="yellow"/>
              </w:rPr>
            </w:pPr>
            <w:r w:rsidRPr="00EE1814">
              <w:rPr>
                <w:highlight w:val="yellow"/>
              </w:rPr>
              <w:t>Population Base</w:t>
            </w:r>
          </w:p>
        </w:tc>
      </w:tr>
      <w:tr w:rsidR="00465CD7" w:rsidRPr="00EE1814" w14:paraId="1E0494B4" w14:textId="77777777" w:rsidTr="00A93175">
        <w:trPr>
          <w:cantSplit/>
        </w:trPr>
        <w:tc>
          <w:tcPr>
            <w:tcW w:w="2880" w:type="dxa"/>
            <w:tcBorders>
              <w:top w:val="single" w:sz="4" w:space="0" w:color="auto"/>
              <w:left w:val="single" w:sz="4" w:space="0" w:color="auto"/>
              <w:bottom w:val="single" w:sz="4" w:space="0" w:color="auto"/>
              <w:right w:val="single" w:sz="4" w:space="0" w:color="auto"/>
            </w:tcBorders>
          </w:tcPr>
          <w:p w14:paraId="372B118B" w14:textId="77777777" w:rsidR="00465CD7" w:rsidRPr="00EE1814" w:rsidRDefault="00465CD7" w:rsidP="005E44AF">
            <w:pPr>
              <w:pStyle w:val="TableText"/>
              <w:rPr>
                <w:highlight w:val="yellow"/>
              </w:rPr>
            </w:pPr>
            <w:r w:rsidRPr="00EE1814">
              <w:rPr>
                <w:highlight w:val="yellow"/>
              </w:rPr>
              <w:t>The number of expected inpatient or observation stay discharges during the measurement period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A4CE29B" w14:textId="77777777" w:rsidR="00465CD7" w:rsidRPr="00EE1814" w:rsidRDefault="00465CD7" w:rsidP="005E44AF">
            <w:pPr>
              <w:pStyle w:val="TableText"/>
              <w:rPr>
                <w:highlight w:val="yellow"/>
              </w:rPr>
            </w:pPr>
            <w:r w:rsidRPr="00EE1814">
              <w:rPr>
                <w:highlight w:val="yellow"/>
              </w:rPr>
              <w:t>The number of observed inpatient or observation stay discharges during the measurement period</w:t>
            </w:r>
          </w:p>
        </w:tc>
        <w:tc>
          <w:tcPr>
            <w:tcW w:w="2160" w:type="dxa"/>
            <w:tcBorders>
              <w:top w:val="single" w:sz="4" w:space="0" w:color="auto"/>
              <w:left w:val="nil"/>
              <w:bottom w:val="single" w:sz="4" w:space="0" w:color="auto"/>
              <w:right w:val="single" w:sz="4" w:space="0" w:color="auto"/>
            </w:tcBorders>
            <w:shd w:val="clear" w:color="auto" w:fill="auto"/>
          </w:tcPr>
          <w:p w14:paraId="429E175F" w14:textId="77777777" w:rsidR="00465CD7" w:rsidRPr="00EE1814" w:rsidRDefault="00465CD7" w:rsidP="005E44AF">
            <w:pPr>
              <w:pStyle w:val="TableText"/>
              <w:rPr>
                <w:highlight w:val="yellow"/>
              </w:rPr>
            </w:pPr>
            <w:r w:rsidRPr="00EE1814">
              <w:rPr>
                <w:highlight w:val="yellow"/>
              </w:rPr>
              <w:t>Incentive Utilization Metric: AHU, PBIP Payment</w:t>
            </w:r>
          </w:p>
        </w:tc>
        <w:tc>
          <w:tcPr>
            <w:tcW w:w="1440" w:type="dxa"/>
            <w:tcBorders>
              <w:top w:val="single" w:sz="4" w:space="0" w:color="auto"/>
              <w:left w:val="nil"/>
              <w:bottom w:val="single" w:sz="4" w:space="0" w:color="auto"/>
              <w:right w:val="single" w:sz="4" w:space="0" w:color="auto"/>
            </w:tcBorders>
            <w:shd w:val="clear" w:color="auto" w:fill="auto"/>
          </w:tcPr>
          <w:p w14:paraId="45F360CB" w14:textId="77777777" w:rsidR="00465CD7" w:rsidRPr="00EE1814" w:rsidRDefault="00465CD7" w:rsidP="005E44AF">
            <w:pPr>
              <w:pStyle w:val="TableText"/>
              <w:rPr>
                <w:highlight w:val="yellow"/>
              </w:rPr>
            </w:pPr>
            <w:r w:rsidRPr="00EE1814">
              <w:rPr>
                <w:highlight w:val="yellow"/>
              </w:rPr>
              <w:t>GDIT/NCQA</w:t>
            </w:r>
          </w:p>
        </w:tc>
        <w:tc>
          <w:tcPr>
            <w:tcW w:w="1440" w:type="dxa"/>
            <w:tcBorders>
              <w:top w:val="single" w:sz="4" w:space="0" w:color="auto"/>
              <w:left w:val="nil"/>
              <w:bottom w:val="single" w:sz="4" w:space="0" w:color="auto"/>
              <w:right w:val="single" w:sz="4" w:space="0" w:color="auto"/>
            </w:tcBorders>
            <w:shd w:val="clear" w:color="auto" w:fill="auto"/>
          </w:tcPr>
          <w:p w14:paraId="24D517F3" w14:textId="77777777" w:rsidR="00465CD7" w:rsidRPr="00EE1814" w:rsidRDefault="00465CD7" w:rsidP="005E44AF">
            <w:pPr>
              <w:pStyle w:val="TableText"/>
              <w:rPr>
                <w:highlight w:val="yellow"/>
              </w:rPr>
            </w:pPr>
            <w:r w:rsidRPr="00EE1814">
              <w:rPr>
                <w:highlight w:val="yellow"/>
              </w:rPr>
              <w:t>Child/Adult</w:t>
            </w:r>
          </w:p>
        </w:tc>
      </w:tr>
    </w:tbl>
    <w:p w14:paraId="30C9858C" w14:textId="30C8EBB1" w:rsidR="00465CD7" w:rsidRPr="008717EF" w:rsidRDefault="00465CD7" w:rsidP="00465CD7">
      <w:pPr>
        <w:pStyle w:val="TableText"/>
        <w:rPr>
          <w:rStyle w:val="Hyperlink"/>
          <w:rFonts w:ascii="Arial" w:hAnsi="Arial"/>
          <w:sz w:val="20"/>
          <w:szCs w:val="20"/>
        </w:rPr>
      </w:pPr>
      <w:r w:rsidRPr="00EE1814">
        <w:rPr>
          <w:highlight w:val="yellow"/>
        </w:rPr>
        <w:t>*</w:t>
      </w:r>
      <w:hyperlink w:anchor="_Percentile_of_performance" w:history="1">
        <w:r w:rsidRPr="00EE1814">
          <w:rPr>
            <w:rStyle w:val="Hyperlink"/>
            <w:rFonts w:ascii="Arial" w:hAnsi="Arial"/>
            <w:sz w:val="20"/>
            <w:szCs w:val="20"/>
            <w:highlight w:val="yellow"/>
          </w:rPr>
          <w:t>P</w:t>
        </w:r>
        <w:r w:rsidR="00603D7E">
          <w:rPr>
            <w:rStyle w:val="Hyperlink"/>
            <w:rFonts w:ascii="Arial" w:hAnsi="Arial"/>
            <w:sz w:val="20"/>
            <w:szCs w:val="20"/>
            <w:highlight w:val="yellow"/>
          </w:rPr>
          <w:t>BIP p</w:t>
        </w:r>
        <w:r w:rsidRPr="00EE1814">
          <w:rPr>
            <w:rStyle w:val="Hyperlink"/>
            <w:rFonts w:ascii="Arial" w:hAnsi="Arial"/>
            <w:sz w:val="20"/>
            <w:szCs w:val="20"/>
            <w:highlight w:val="yellow"/>
          </w:rPr>
          <w:t>ercentile of performance and incentive bonus</w:t>
        </w:r>
      </w:hyperlink>
    </w:p>
    <w:p w14:paraId="040EE832" w14:textId="77777777" w:rsidR="00A25996" w:rsidRPr="008717EF" w:rsidRDefault="00A25996" w:rsidP="003225AE">
      <w:pPr>
        <w:spacing w:line="360" w:lineRule="auto"/>
        <w:rPr>
          <w:lang w:eastAsia="ja-JP"/>
        </w:rPr>
      </w:pPr>
    </w:p>
    <w:p w14:paraId="4AEE8687" w14:textId="77777777" w:rsidR="00A25996" w:rsidRPr="008717EF" w:rsidRDefault="00A25996" w:rsidP="003225AE">
      <w:pPr>
        <w:pStyle w:val="Heading1"/>
        <w:tabs>
          <w:tab w:val="clear" w:pos="720"/>
        </w:tabs>
        <w:spacing w:before="120" w:line="360" w:lineRule="auto"/>
      </w:pPr>
      <w:bookmarkStart w:id="48" w:name="_Toc519170524"/>
      <w:bookmarkStart w:id="49" w:name="_Toc113888461"/>
      <w:r w:rsidRPr="008717EF">
        <w:lastRenderedPageBreak/>
        <w:t>237.000</w:t>
      </w:r>
      <w:r w:rsidRPr="008717EF">
        <w:tab/>
        <w:t>Performance Based Incentive Payment Amounts</w:t>
      </w:r>
      <w:bookmarkEnd w:id="48"/>
      <w:bookmarkEnd w:id="49"/>
    </w:p>
    <w:p w14:paraId="3BABC402" w14:textId="77777777" w:rsidR="00A25996" w:rsidRPr="008717EF" w:rsidRDefault="00A25996" w:rsidP="003225AE">
      <w:pPr>
        <w:spacing w:line="360" w:lineRule="auto"/>
      </w:pPr>
    </w:p>
    <w:p w14:paraId="454F9EAE" w14:textId="69D2CD8D" w:rsidR="00A25996" w:rsidRPr="008717EF" w:rsidRDefault="00A25996" w:rsidP="003225AE">
      <w:pPr>
        <w:pStyle w:val="Heading2"/>
        <w:numPr>
          <w:ilvl w:val="0"/>
          <w:numId w:val="0"/>
        </w:numPr>
        <w:spacing w:before="120" w:line="360" w:lineRule="auto"/>
        <w:ind w:left="576" w:hanging="576"/>
      </w:pPr>
      <w:bookmarkStart w:id="50" w:name="_Percentile_of_performance"/>
      <w:bookmarkStart w:id="51" w:name="_Toc519170525"/>
      <w:bookmarkStart w:id="52" w:name="_Toc113888462"/>
      <w:bookmarkEnd w:id="50"/>
      <w:r w:rsidRPr="008717EF">
        <w:t>Percentile of performance and incentive bonus</w:t>
      </w:r>
      <w:bookmarkEnd w:id="51"/>
      <w:r w:rsidRPr="008717EF">
        <w:rPr>
          <w:rStyle w:val="FootnoteReference"/>
        </w:rPr>
        <w:footnoteReference w:id="3"/>
      </w:r>
      <w:bookmarkEnd w:id="52"/>
    </w:p>
    <w:p w14:paraId="5FF0499B" w14:textId="77777777" w:rsidR="00042D7A" w:rsidRPr="00504EA2" w:rsidRDefault="00593366" w:rsidP="00425466">
      <w:pPr>
        <w:pStyle w:val="ListParagraph"/>
        <w:numPr>
          <w:ilvl w:val="0"/>
          <w:numId w:val="18"/>
        </w:numPr>
        <w:rPr>
          <w:highlight w:val="yellow"/>
        </w:rPr>
      </w:pPr>
      <w:hyperlink w:anchor="_Metric_1:_Emergency" w:history="1">
        <w:r w:rsidR="00042D7A" w:rsidRPr="00504EA2">
          <w:rPr>
            <w:rStyle w:val="Hyperlink"/>
            <w:rFonts w:ascii="Arial" w:hAnsi="Arial"/>
            <w:sz w:val="20"/>
            <w:highlight w:val="yellow"/>
          </w:rPr>
          <w:t>Emergency Department Utilization</w:t>
        </w:r>
      </w:hyperlink>
      <w:r w:rsidR="00042D7A" w:rsidRPr="00504EA2">
        <w:rPr>
          <w:rStyle w:val="Hyperlink"/>
          <w:rFonts w:ascii="Arial" w:hAnsi="Arial"/>
          <w:sz w:val="20"/>
          <w:highlight w:val="yellow"/>
        </w:rPr>
        <w:t xml:space="preserve"> (EDU)</w:t>
      </w:r>
    </w:p>
    <w:p w14:paraId="20449CBF" w14:textId="0B4019DE" w:rsidR="00042D7A" w:rsidRPr="00504EA2" w:rsidRDefault="00042D7A" w:rsidP="00425466">
      <w:pPr>
        <w:pStyle w:val="ListParagraph"/>
        <w:numPr>
          <w:ilvl w:val="1"/>
          <w:numId w:val="18"/>
        </w:numPr>
        <w:rPr>
          <w:highlight w:val="yellow"/>
        </w:rPr>
      </w:pPr>
      <w:r w:rsidRPr="00504EA2">
        <w:rPr>
          <w:highlight w:val="yellow"/>
        </w:rPr>
        <w:t>Shared Performance Entities that are in the top 10th percentile for lowest EDU rates can receive up to $</w:t>
      </w:r>
      <w:r w:rsidR="00EF24A1" w:rsidRPr="00504EA2">
        <w:rPr>
          <w:highlight w:val="yellow"/>
        </w:rPr>
        <w:t>9.50</w:t>
      </w:r>
      <w:r w:rsidRPr="00504EA2">
        <w:rPr>
          <w:highlight w:val="yellow"/>
        </w:rPr>
        <w:t xml:space="preserve"> times the number of attributed member months</w:t>
      </w:r>
    </w:p>
    <w:p w14:paraId="033E1246" w14:textId="0711D0F9" w:rsidR="00042D7A" w:rsidRPr="00504EA2" w:rsidRDefault="00042D7A" w:rsidP="00425466">
      <w:pPr>
        <w:pStyle w:val="ListParagraph"/>
        <w:numPr>
          <w:ilvl w:val="1"/>
          <w:numId w:val="18"/>
        </w:numPr>
        <w:rPr>
          <w:highlight w:val="yellow"/>
        </w:rPr>
      </w:pPr>
      <w:r w:rsidRPr="00504EA2">
        <w:rPr>
          <w:highlight w:val="yellow"/>
        </w:rPr>
        <w:t>Shared Performance Entities that fall within the top 11th to 35th percentiles for lowest EDU rates can receive up to $4</w:t>
      </w:r>
      <w:r w:rsidR="00EF24A1" w:rsidRPr="00504EA2">
        <w:rPr>
          <w:highlight w:val="yellow"/>
        </w:rPr>
        <w:t>.75</w:t>
      </w:r>
      <w:r w:rsidRPr="00504EA2">
        <w:rPr>
          <w:highlight w:val="yellow"/>
        </w:rPr>
        <w:t xml:space="preserve"> times the number of attributed member months</w:t>
      </w:r>
    </w:p>
    <w:p w14:paraId="6E748A70" w14:textId="726BCC45" w:rsidR="007B4D01" w:rsidRPr="00504EA2" w:rsidRDefault="00593366" w:rsidP="00425466">
      <w:pPr>
        <w:pStyle w:val="ListParagraph"/>
        <w:numPr>
          <w:ilvl w:val="0"/>
          <w:numId w:val="18"/>
        </w:numPr>
        <w:rPr>
          <w:highlight w:val="yellow"/>
        </w:rPr>
      </w:pPr>
      <w:hyperlink w:anchor="_Metric_2:_Acute" w:history="1">
        <w:r w:rsidR="007B4D01" w:rsidRPr="00504EA2">
          <w:rPr>
            <w:rStyle w:val="Hyperlink"/>
            <w:rFonts w:ascii="Arial" w:hAnsi="Arial"/>
            <w:sz w:val="20"/>
            <w:highlight w:val="yellow"/>
          </w:rPr>
          <w:t xml:space="preserve">Acute Hospital Utilization </w:t>
        </w:r>
      </w:hyperlink>
      <w:r w:rsidR="007B4D01" w:rsidRPr="00504EA2">
        <w:rPr>
          <w:rStyle w:val="Hyperlink"/>
          <w:rFonts w:ascii="Arial" w:hAnsi="Arial"/>
          <w:sz w:val="20"/>
          <w:highlight w:val="yellow"/>
        </w:rPr>
        <w:t>(AHU)</w:t>
      </w:r>
    </w:p>
    <w:p w14:paraId="07EFE5F3" w14:textId="352D0628" w:rsidR="007B4D01" w:rsidRPr="00504EA2" w:rsidRDefault="007B4D01" w:rsidP="00425466">
      <w:pPr>
        <w:pStyle w:val="ListParagraph"/>
        <w:numPr>
          <w:ilvl w:val="1"/>
          <w:numId w:val="18"/>
        </w:numPr>
        <w:rPr>
          <w:highlight w:val="yellow"/>
        </w:rPr>
      </w:pPr>
      <w:r w:rsidRPr="00504EA2">
        <w:rPr>
          <w:highlight w:val="yellow"/>
        </w:rPr>
        <w:t xml:space="preserve">Shared Performance Entities that are in the top 10th </w:t>
      </w:r>
      <w:r w:rsidR="00F97713" w:rsidRPr="00504EA2">
        <w:rPr>
          <w:highlight w:val="yellow"/>
        </w:rPr>
        <w:t>p</w:t>
      </w:r>
      <w:r w:rsidRPr="00504EA2">
        <w:rPr>
          <w:highlight w:val="yellow"/>
        </w:rPr>
        <w:t xml:space="preserve">ercentile for </w:t>
      </w:r>
      <w:r w:rsidR="00862822" w:rsidRPr="00504EA2">
        <w:rPr>
          <w:highlight w:val="yellow"/>
        </w:rPr>
        <w:t>l</w:t>
      </w:r>
      <w:r w:rsidRPr="00504EA2">
        <w:rPr>
          <w:highlight w:val="yellow"/>
        </w:rPr>
        <w:t xml:space="preserve">owest </w:t>
      </w:r>
      <w:r w:rsidR="00862822" w:rsidRPr="00504EA2">
        <w:rPr>
          <w:highlight w:val="yellow"/>
        </w:rPr>
        <w:t xml:space="preserve">AHU </w:t>
      </w:r>
      <w:r w:rsidRPr="00504EA2">
        <w:rPr>
          <w:highlight w:val="yellow"/>
        </w:rPr>
        <w:t xml:space="preserve">rates can receive </w:t>
      </w:r>
      <w:r w:rsidR="00972283" w:rsidRPr="00504EA2">
        <w:rPr>
          <w:highlight w:val="yellow"/>
        </w:rPr>
        <w:t xml:space="preserve">up to </w:t>
      </w:r>
      <w:r w:rsidRPr="00504EA2">
        <w:rPr>
          <w:highlight w:val="yellow"/>
        </w:rPr>
        <w:t>$</w:t>
      </w:r>
      <w:r w:rsidR="00EF24A1" w:rsidRPr="00504EA2">
        <w:rPr>
          <w:highlight w:val="yellow"/>
        </w:rPr>
        <w:t xml:space="preserve">6.50 </w:t>
      </w:r>
      <w:r w:rsidRPr="00504EA2">
        <w:rPr>
          <w:highlight w:val="yellow"/>
        </w:rPr>
        <w:t>times the number of attributed member months</w:t>
      </w:r>
    </w:p>
    <w:p w14:paraId="1955471D" w14:textId="1B520254" w:rsidR="007B4D01" w:rsidRPr="00504EA2" w:rsidRDefault="007B4D01" w:rsidP="00425466">
      <w:pPr>
        <w:pStyle w:val="ListParagraph"/>
        <w:numPr>
          <w:ilvl w:val="1"/>
          <w:numId w:val="18"/>
        </w:numPr>
        <w:rPr>
          <w:highlight w:val="yellow"/>
        </w:rPr>
      </w:pPr>
      <w:r w:rsidRPr="00504EA2">
        <w:rPr>
          <w:highlight w:val="yellow"/>
        </w:rPr>
        <w:t xml:space="preserve">Shared Performance Entities that fall </w:t>
      </w:r>
      <w:r w:rsidR="00765DCA" w:rsidRPr="00504EA2">
        <w:rPr>
          <w:highlight w:val="yellow"/>
        </w:rPr>
        <w:t>with</w:t>
      </w:r>
      <w:r w:rsidR="00F97713" w:rsidRPr="00504EA2">
        <w:rPr>
          <w:highlight w:val="yellow"/>
        </w:rPr>
        <w:t xml:space="preserve">in </w:t>
      </w:r>
      <w:r w:rsidRPr="00504EA2">
        <w:rPr>
          <w:highlight w:val="yellow"/>
        </w:rPr>
        <w:t xml:space="preserve">the top 11th </w:t>
      </w:r>
      <w:r w:rsidR="00765DCA" w:rsidRPr="00504EA2">
        <w:rPr>
          <w:highlight w:val="yellow"/>
        </w:rPr>
        <w:t xml:space="preserve">to </w:t>
      </w:r>
      <w:r w:rsidRPr="00504EA2">
        <w:rPr>
          <w:highlight w:val="yellow"/>
        </w:rPr>
        <w:t xml:space="preserve">35th percentiles for </w:t>
      </w:r>
      <w:r w:rsidR="00862822" w:rsidRPr="00504EA2">
        <w:rPr>
          <w:highlight w:val="yellow"/>
        </w:rPr>
        <w:t>l</w:t>
      </w:r>
      <w:r w:rsidRPr="00504EA2">
        <w:rPr>
          <w:highlight w:val="yellow"/>
        </w:rPr>
        <w:t xml:space="preserve">owest </w:t>
      </w:r>
      <w:r w:rsidR="00862822" w:rsidRPr="00504EA2">
        <w:rPr>
          <w:highlight w:val="yellow"/>
        </w:rPr>
        <w:t xml:space="preserve">AHU </w:t>
      </w:r>
      <w:r w:rsidRPr="00504EA2">
        <w:rPr>
          <w:highlight w:val="yellow"/>
        </w:rPr>
        <w:t xml:space="preserve">rates can receive </w:t>
      </w:r>
      <w:r w:rsidR="00972283" w:rsidRPr="00504EA2">
        <w:rPr>
          <w:highlight w:val="yellow"/>
        </w:rPr>
        <w:t xml:space="preserve">up to </w:t>
      </w:r>
      <w:r w:rsidRPr="00504EA2">
        <w:rPr>
          <w:highlight w:val="yellow"/>
        </w:rPr>
        <w:t>$</w:t>
      </w:r>
      <w:r w:rsidR="00EF24A1" w:rsidRPr="00504EA2">
        <w:rPr>
          <w:highlight w:val="yellow"/>
        </w:rPr>
        <w:t xml:space="preserve">3.25 </w:t>
      </w:r>
      <w:r w:rsidRPr="00504EA2">
        <w:rPr>
          <w:highlight w:val="yellow"/>
        </w:rPr>
        <w:t>times the number of attributed member months</w:t>
      </w:r>
    </w:p>
    <w:p w14:paraId="4E36517F" w14:textId="490F5C3F" w:rsidR="007B4D01" w:rsidRPr="008717EF" w:rsidRDefault="00593366" w:rsidP="00425466">
      <w:pPr>
        <w:pStyle w:val="ListParagraph"/>
        <w:numPr>
          <w:ilvl w:val="0"/>
          <w:numId w:val="18"/>
        </w:numPr>
      </w:pPr>
      <w:hyperlink w:anchor="_236.000_Focus_Measure" w:history="1">
        <w:r w:rsidR="00CB6E40" w:rsidRPr="008717EF">
          <w:rPr>
            <w:rStyle w:val="Hyperlink"/>
            <w:rFonts w:ascii="Arial" w:hAnsi="Arial"/>
            <w:sz w:val="20"/>
          </w:rPr>
          <w:t>Focus Measure</w:t>
        </w:r>
      </w:hyperlink>
    </w:p>
    <w:p w14:paraId="14E15B1E" w14:textId="3430032B" w:rsidR="007B4D01" w:rsidRPr="008717EF" w:rsidRDefault="007B4D01" w:rsidP="00425466">
      <w:pPr>
        <w:pStyle w:val="ListParagraph"/>
        <w:numPr>
          <w:ilvl w:val="1"/>
          <w:numId w:val="18"/>
        </w:numPr>
      </w:pPr>
      <w:r w:rsidRPr="008717EF">
        <w:t xml:space="preserve">Shared Performance Entities that are in the </w:t>
      </w:r>
      <w:r w:rsidR="00F97713" w:rsidRPr="008717EF">
        <w:t>t</w:t>
      </w:r>
      <w:r w:rsidRPr="008717EF">
        <w:t xml:space="preserve">op 10th percentile for </w:t>
      </w:r>
      <w:r w:rsidR="00F97713" w:rsidRPr="008717EF">
        <w:t>h</w:t>
      </w:r>
      <w:r w:rsidRPr="008717EF">
        <w:t xml:space="preserve">ighest Focus </w:t>
      </w:r>
      <w:r w:rsidR="00C57DD8" w:rsidRPr="008717EF">
        <w:t xml:space="preserve">Measure </w:t>
      </w:r>
      <w:r w:rsidRPr="008717EF">
        <w:t xml:space="preserve">rates can receive </w:t>
      </w:r>
      <w:r w:rsidR="00972283" w:rsidRPr="008717EF">
        <w:t xml:space="preserve">up to </w:t>
      </w:r>
      <w:r w:rsidRPr="00504EA2">
        <w:rPr>
          <w:highlight w:val="yellow"/>
        </w:rPr>
        <w:t>$</w:t>
      </w:r>
      <w:r w:rsidR="003C1EB9" w:rsidRPr="00504EA2">
        <w:rPr>
          <w:highlight w:val="yellow"/>
        </w:rPr>
        <w:t>4</w:t>
      </w:r>
      <w:r w:rsidR="003C1EB9" w:rsidRPr="008717EF">
        <w:t xml:space="preserve"> </w:t>
      </w:r>
      <w:r w:rsidRPr="008717EF">
        <w:t>times the number of attributed member months</w:t>
      </w:r>
    </w:p>
    <w:p w14:paraId="5158ADC6" w14:textId="30F65A5E" w:rsidR="007B4D01" w:rsidRPr="008717EF" w:rsidRDefault="007B4D01" w:rsidP="00425466">
      <w:pPr>
        <w:pStyle w:val="ListParagraph"/>
        <w:numPr>
          <w:ilvl w:val="1"/>
          <w:numId w:val="18"/>
        </w:numPr>
      </w:pPr>
      <w:r w:rsidRPr="008717EF">
        <w:t xml:space="preserve">Shared Performance Entities that fall </w:t>
      </w:r>
      <w:r w:rsidR="00765DCA" w:rsidRPr="008717EF">
        <w:t>with</w:t>
      </w:r>
      <w:r w:rsidR="00F97713" w:rsidRPr="008717EF">
        <w:t xml:space="preserve">in </w:t>
      </w:r>
      <w:r w:rsidRPr="008717EF">
        <w:t xml:space="preserve">the top 11th </w:t>
      </w:r>
      <w:r w:rsidR="00765DCA" w:rsidRPr="008717EF">
        <w:t xml:space="preserve">to </w:t>
      </w:r>
      <w:r w:rsidRPr="008717EF">
        <w:t xml:space="preserve">35th percentiles for </w:t>
      </w:r>
      <w:r w:rsidR="00F97713" w:rsidRPr="008717EF">
        <w:t>h</w:t>
      </w:r>
      <w:r w:rsidRPr="008717EF">
        <w:t xml:space="preserve">ighest Focus </w:t>
      </w:r>
      <w:r w:rsidR="00C57DD8" w:rsidRPr="008717EF">
        <w:t xml:space="preserve">Measure </w:t>
      </w:r>
      <w:r w:rsidRPr="008717EF">
        <w:t xml:space="preserve">rates can receive </w:t>
      </w:r>
      <w:r w:rsidR="00972283" w:rsidRPr="008717EF">
        <w:t xml:space="preserve">up to </w:t>
      </w:r>
      <w:r w:rsidRPr="00504EA2">
        <w:rPr>
          <w:highlight w:val="yellow"/>
        </w:rPr>
        <w:t>$2</w:t>
      </w:r>
      <w:r w:rsidRPr="008717EF">
        <w:t xml:space="preserve"> times the number of attributed member months</w:t>
      </w:r>
    </w:p>
    <w:p w14:paraId="3C8791C6" w14:textId="7478ED43" w:rsidR="00D9636D" w:rsidRPr="008717EF" w:rsidRDefault="00D9636D" w:rsidP="003C1EB9">
      <w:r w:rsidRPr="002E2A0D">
        <w:rPr>
          <w:highlight w:val="yellow"/>
        </w:rPr>
        <w:t>Reconsideration for</w:t>
      </w:r>
      <w:r w:rsidR="00E41ADF" w:rsidRPr="002E2A0D">
        <w:rPr>
          <w:highlight w:val="yellow"/>
        </w:rPr>
        <w:t xml:space="preserve"> the 2023</w:t>
      </w:r>
      <w:r w:rsidRPr="002E2A0D">
        <w:rPr>
          <w:highlight w:val="yellow"/>
        </w:rPr>
        <w:t xml:space="preserve"> </w:t>
      </w:r>
      <w:r w:rsidR="003E5CD9" w:rsidRPr="002E2A0D">
        <w:rPr>
          <w:highlight w:val="yellow"/>
        </w:rPr>
        <w:t xml:space="preserve">EDU, </w:t>
      </w:r>
      <w:r w:rsidR="00C57DD8" w:rsidRPr="002E2A0D">
        <w:rPr>
          <w:highlight w:val="yellow"/>
        </w:rPr>
        <w:t xml:space="preserve">AHU, </w:t>
      </w:r>
      <w:r w:rsidRPr="002E2A0D">
        <w:rPr>
          <w:highlight w:val="yellow"/>
        </w:rPr>
        <w:t xml:space="preserve">and Focus Measures will be performed during </w:t>
      </w:r>
      <w:r w:rsidR="00FF116B" w:rsidRPr="002E2A0D">
        <w:rPr>
          <w:highlight w:val="yellow"/>
        </w:rPr>
        <w:t xml:space="preserve">Q3 </w:t>
      </w:r>
      <w:r w:rsidRPr="002E2A0D">
        <w:rPr>
          <w:highlight w:val="yellow"/>
        </w:rPr>
        <w:t xml:space="preserve">of the </w:t>
      </w:r>
      <w:r w:rsidR="003E5CD9" w:rsidRPr="002E2A0D">
        <w:rPr>
          <w:highlight w:val="yellow"/>
        </w:rPr>
        <w:t xml:space="preserve">2024 </w:t>
      </w:r>
      <w:r w:rsidR="00E41ADF" w:rsidRPr="002E2A0D">
        <w:rPr>
          <w:highlight w:val="yellow"/>
        </w:rPr>
        <w:t>calendar year</w:t>
      </w:r>
      <w:r w:rsidRPr="002E2A0D">
        <w:rPr>
          <w:highlight w:val="yellow"/>
        </w:rPr>
        <w:t xml:space="preserve">. The </w:t>
      </w:r>
      <w:r w:rsidR="000B4161" w:rsidRPr="002E2A0D">
        <w:rPr>
          <w:highlight w:val="yellow"/>
        </w:rPr>
        <w:t xml:space="preserve">Q3 </w:t>
      </w:r>
      <w:r w:rsidR="003E5CD9" w:rsidRPr="002E2A0D">
        <w:rPr>
          <w:highlight w:val="yellow"/>
        </w:rPr>
        <w:t xml:space="preserve">2024 </w:t>
      </w:r>
      <w:r w:rsidRPr="002E2A0D">
        <w:rPr>
          <w:highlight w:val="yellow"/>
        </w:rPr>
        <w:t xml:space="preserve">quarterly report will identify providers’ current standing and a </w:t>
      </w:r>
      <w:r w:rsidR="000B4161" w:rsidRPr="002E2A0D">
        <w:rPr>
          <w:highlight w:val="yellow"/>
        </w:rPr>
        <w:t xml:space="preserve">PBIP reconsideration application </w:t>
      </w:r>
      <w:r w:rsidR="000B4161" w:rsidRPr="00504EA2">
        <w:rPr>
          <w:highlight w:val="yellow"/>
        </w:rPr>
        <w:t xml:space="preserve">in the PCMH Provider Portal </w:t>
      </w:r>
      <w:r w:rsidRPr="00504EA2">
        <w:rPr>
          <w:highlight w:val="yellow"/>
        </w:rPr>
        <w:t xml:space="preserve">will identify those beneficiaries and events counted in these three measures. Requests for reconsideration on these measures will be accepted after </w:t>
      </w:r>
      <w:r w:rsidR="000B4161" w:rsidRPr="00504EA2">
        <w:rPr>
          <w:highlight w:val="yellow"/>
        </w:rPr>
        <w:t xml:space="preserve">Q3 </w:t>
      </w:r>
      <w:r w:rsidR="003E5CD9" w:rsidRPr="00504EA2">
        <w:rPr>
          <w:highlight w:val="yellow"/>
        </w:rPr>
        <w:t xml:space="preserve">2024 </w:t>
      </w:r>
      <w:r w:rsidRPr="00504EA2">
        <w:rPr>
          <w:highlight w:val="yellow"/>
        </w:rPr>
        <w:t xml:space="preserve">reports are posted to </w:t>
      </w:r>
      <w:r w:rsidR="00765DCA" w:rsidRPr="00504EA2">
        <w:rPr>
          <w:highlight w:val="yellow"/>
        </w:rPr>
        <w:t xml:space="preserve">the PCMH </w:t>
      </w:r>
      <w:r w:rsidR="00C24349" w:rsidRPr="00504EA2">
        <w:rPr>
          <w:highlight w:val="yellow"/>
        </w:rPr>
        <w:t>portal</w:t>
      </w:r>
      <w:r w:rsidRPr="00504EA2">
        <w:rPr>
          <w:highlight w:val="yellow"/>
        </w:rPr>
        <w:t xml:space="preserve">, and such reconsideration requests must follow the guidance in the </w:t>
      </w:r>
      <w:hyperlink r:id="rId19" w:history="1">
        <w:r w:rsidRPr="00504EA2">
          <w:rPr>
            <w:rStyle w:val="Hyperlink"/>
            <w:rFonts w:ascii="Arial" w:hAnsi="Arial"/>
            <w:sz w:val="20"/>
            <w:highlight w:val="yellow"/>
          </w:rPr>
          <w:t>PCMH Provider Manual</w:t>
        </w:r>
      </w:hyperlink>
      <w:r w:rsidRPr="00504EA2">
        <w:rPr>
          <w:highlight w:val="yellow"/>
        </w:rPr>
        <w:t>. (Sections 235.000, 236.000, 244.000)</w:t>
      </w:r>
    </w:p>
    <w:p w14:paraId="2028B9A5" w14:textId="0F4E7E87" w:rsidR="00D9636D" w:rsidRPr="008717EF" w:rsidRDefault="00D9636D" w:rsidP="003225AE">
      <w:pPr>
        <w:spacing w:line="360" w:lineRule="auto"/>
        <w:sectPr w:rsidR="00D9636D" w:rsidRPr="008717EF" w:rsidSect="00BB1ECF">
          <w:headerReference w:type="even" r:id="rId20"/>
          <w:headerReference w:type="default" r:id="rId21"/>
          <w:footerReference w:type="default" r:id="rId22"/>
          <w:headerReference w:type="first" r:id="rId23"/>
          <w:pgSz w:w="12240" w:h="15840"/>
          <w:pgMar w:top="1440" w:right="1440" w:bottom="1440" w:left="1440" w:header="720" w:footer="720" w:gutter="0"/>
          <w:pgNumType w:start="1"/>
          <w:cols w:space="720"/>
          <w:docGrid w:linePitch="360"/>
        </w:sectPr>
      </w:pPr>
    </w:p>
    <w:p w14:paraId="75671DE1" w14:textId="77777777" w:rsidR="00A25996" w:rsidRPr="008717EF" w:rsidRDefault="00A25996" w:rsidP="003225AE">
      <w:pPr>
        <w:pStyle w:val="Heading1"/>
        <w:spacing w:before="120" w:line="360" w:lineRule="auto"/>
        <w:ind w:left="540" w:hanging="540"/>
      </w:pPr>
      <w:bookmarkStart w:id="53" w:name="_Toc519170526"/>
      <w:bookmarkStart w:id="54" w:name="_Toc113888463"/>
      <w:r w:rsidRPr="008717EF">
        <w:lastRenderedPageBreak/>
        <w:t>241.000</w:t>
      </w:r>
      <w:r w:rsidRPr="008717EF">
        <w:tab/>
        <w:t>Activities Tracked for Practice Support</w:t>
      </w:r>
      <w:bookmarkEnd w:id="53"/>
      <w:bookmarkEnd w:id="54"/>
    </w:p>
    <w:p w14:paraId="0FF231E2" w14:textId="77777777" w:rsidR="00A25996" w:rsidRPr="008717EF" w:rsidRDefault="00A25996" w:rsidP="003225AE">
      <w:pPr>
        <w:spacing w:line="360" w:lineRule="auto"/>
      </w:pPr>
    </w:p>
    <w:p w14:paraId="5970695E" w14:textId="2B056AAA" w:rsidR="00A25996" w:rsidRPr="008717EF" w:rsidRDefault="00A25996" w:rsidP="003225AE">
      <w:pPr>
        <w:pStyle w:val="Heading2"/>
        <w:numPr>
          <w:ilvl w:val="0"/>
          <w:numId w:val="0"/>
        </w:numPr>
        <w:spacing w:before="120" w:line="360" w:lineRule="auto"/>
        <w:ind w:left="576" w:hanging="576"/>
      </w:pPr>
      <w:bookmarkStart w:id="55" w:name="_Toc519170527"/>
      <w:bookmarkStart w:id="56" w:name="_Toc113888464"/>
      <w:r w:rsidRPr="008717EF">
        <w:t xml:space="preserve">Activities for the </w:t>
      </w:r>
      <w:r w:rsidR="00687FBD" w:rsidRPr="008717EF">
        <w:t>202</w:t>
      </w:r>
      <w:r w:rsidR="00687FBD">
        <w:t>3</w:t>
      </w:r>
      <w:r w:rsidR="00687FBD" w:rsidRPr="008717EF">
        <w:t xml:space="preserve"> </w:t>
      </w:r>
      <w:r w:rsidRPr="008717EF">
        <w:t>Performance Period</w:t>
      </w:r>
      <w:bookmarkEnd w:id="55"/>
      <w:bookmarkEnd w:id="56"/>
    </w:p>
    <w:p w14:paraId="16AC331D" w14:textId="77777777" w:rsidR="00463E52" w:rsidRPr="008717EF" w:rsidRDefault="00463E52" w:rsidP="00425466">
      <w:bookmarkStart w:id="57" w:name="_Hlk87356392"/>
      <w:r w:rsidRPr="008717EF">
        <w:t xml:space="preserve">All PCMHs must meet all activities by the following deadlines, must complete the attestations and submit supporting documentation in the Quality Care Insight (QCI) provider portal order to be eligible for practice support. </w:t>
      </w:r>
    </w:p>
    <w:bookmarkEnd w:id="57"/>
    <w:p w14:paraId="00E9A356" w14:textId="09D9CA36" w:rsidR="00A25996" w:rsidRPr="00504EA2" w:rsidRDefault="00A25996" w:rsidP="00425466">
      <w:pPr>
        <w:pStyle w:val="ListParagraph"/>
        <w:numPr>
          <w:ilvl w:val="2"/>
          <w:numId w:val="34"/>
        </w:numPr>
        <w:rPr>
          <w:highlight w:val="yellow"/>
        </w:rPr>
      </w:pPr>
      <w:r w:rsidRPr="00504EA2">
        <w:rPr>
          <w:highlight w:val="yellow"/>
        </w:rPr>
        <w:t>3-month activities by 3/31/</w:t>
      </w:r>
      <w:r w:rsidR="00687FBD" w:rsidRPr="00504EA2">
        <w:rPr>
          <w:highlight w:val="yellow"/>
        </w:rPr>
        <w:t>2023</w:t>
      </w:r>
    </w:p>
    <w:p w14:paraId="1E2BD1B1" w14:textId="032F33EA" w:rsidR="00A25996" w:rsidRPr="00504EA2" w:rsidRDefault="00A25996" w:rsidP="00425466">
      <w:pPr>
        <w:pStyle w:val="ListParagraph"/>
        <w:numPr>
          <w:ilvl w:val="2"/>
          <w:numId w:val="34"/>
        </w:numPr>
        <w:rPr>
          <w:highlight w:val="yellow"/>
        </w:rPr>
      </w:pPr>
      <w:r w:rsidRPr="00504EA2">
        <w:rPr>
          <w:highlight w:val="yellow"/>
        </w:rPr>
        <w:t>6-month activities by 6/30/</w:t>
      </w:r>
      <w:r w:rsidR="00687FBD" w:rsidRPr="00504EA2">
        <w:rPr>
          <w:highlight w:val="yellow"/>
        </w:rPr>
        <w:t xml:space="preserve">2023 </w:t>
      </w:r>
    </w:p>
    <w:p w14:paraId="121836AA" w14:textId="44E7579F" w:rsidR="00A25996" w:rsidRPr="00504EA2" w:rsidRDefault="00A25996" w:rsidP="00425466">
      <w:pPr>
        <w:pStyle w:val="ListParagraph"/>
        <w:numPr>
          <w:ilvl w:val="2"/>
          <w:numId w:val="34"/>
        </w:numPr>
        <w:rPr>
          <w:highlight w:val="yellow"/>
        </w:rPr>
      </w:pPr>
      <w:r w:rsidRPr="00504EA2">
        <w:rPr>
          <w:highlight w:val="yellow"/>
        </w:rPr>
        <w:t>12-month activities by 12/31/</w:t>
      </w:r>
      <w:r w:rsidR="00687FBD" w:rsidRPr="00504EA2">
        <w:rPr>
          <w:highlight w:val="yellow"/>
        </w:rPr>
        <w:t>2023</w:t>
      </w:r>
    </w:p>
    <w:p w14:paraId="04EDD718" w14:textId="71DD526F" w:rsidR="00A25996" w:rsidRPr="008717EF" w:rsidRDefault="00A25996" w:rsidP="00425466">
      <w:r w:rsidRPr="008717EF">
        <w:t xml:space="preserve">For information on remediation, please refer </w:t>
      </w:r>
      <w:r w:rsidRPr="00425466">
        <w:rPr>
          <w:rFonts w:cs="Arial"/>
        </w:rPr>
        <w:t xml:space="preserve">to the </w:t>
      </w:r>
      <w:hyperlink r:id="rId24" w:history="1">
        <w:r w:rsidR="003123C0" w:rsidRPr="00425466">
          <w:rPr>
            <w:rStyle w:val="Hyperlink"/>
            <w:rFonts w:ascii="Arial" w:hAnsi="Arial" w:cs="Arial"/>
            <w:sz w:val="20"/>
          </w:rPr>
          <w:t>PCMH Provider Manual</w:t>
        </w:r>
      </w:hyperlink>
      <w:r w:rsidRPr="008717EF">
        <w:t>.</w:t>
      </w:r>
    </w:p>
    <w:tbl>
      <w:tblPr>
        <w:tblStyle w:val="TableGrid"/>
        <w:tblW w:w="0" w:type="auto"/>
        <w:tblCellMar>
          <w:left w:w="72" w:type="dxa"/>
          <w:right w:w="72" w:type="dxa"/>
        </w:tblCellMar>
        <w:tblLook w:val="04A0" w:firstRow="1" w:lastRow="0" w:firstColumn="1" w:lastColumn="0" w:noHBand="0" w:noVBand="1"/>
      </w:tblPr>
      <w:tblGrid>
        <w:gridCol w:w="9355"/>
        <w:gridCol w:w="1198"/>
        <w:gridCol w:w="1198"/>
        <w:gridCol w:w="1199"/>
      </w:tblGrid>
      <w:tr w:rsidR="00A25996" w:rsidRPr="008717EF" w14:paraId="059F9BD3" w14:textId="77777777" w:rsidTr="00BB1ECF">
        <w:tc>
          <w:tcPr>
            <w:tcW w:w="9355" w:type="dxa"/>
            <w:tcBorders>
              <w:top w:val="single" w:sz="4" w:space="0" w:color="auto"/>
              <w:left w:val="single" w:sz="4" w:space="0" w:color="auto"/>
              <w:bottom w:val="single" w:sz="4" w:space="0" w:color="auto"/>
              <w:right w:val="single" w:sz="4" w:space="0" w:color="auto"/>
            </w:tcBorders>
            <w:shd w:val="clear" w:color="auto" w:fill="002060"/>
            <w:vAlign w:val="center"/>
          </w:tcPr>
          <w:p w14:paraId="33615EBB" w14:textId="77777777" w:rsidR="00A25996" w:rsidRPr="008717EF" w:rsidRDefault="00A25996" w:rsidP="003225AE">
            <w:pPr>
              <w:pStyle w:val="TableHeading"/>
              <w:spacing w:before="120" w:after="120" w:line="360" w:lineRule="auto"/>
            </w:pPr>
            <w:r w:rsidRPr="008717EF">
              <w:t>Activity</w:t>
            </w:r>
          </w:p>
        </w:tc>
        <w:tc>
          <w:tcPr>
            <w:tcW w:w="1198" w:type="dxa"/>
            <w:tcBorders>
              <w:top w:val="single" w:sz="4" w:space="0" w:color="auto"/>
              <w:left w:val="single" w:sz="4" w:space="0" w:color="auto"/>
              <w:bottom w:val="single" w:sz="4" w:space="0" w:color="auto"/>
              <w:right w:val="single" w:sz="4" w:space="0" w:color="auto"/>
            </w:tcBorders>
            <w:shd w:val="clear" w:color="auto" w:fill="002060"/>
            <w:vAlign w:val="center"/>
          </w:tcPr>
          <w:p w14:paraId="397BE973" w14:textId="77777777" w:rsidR="00A25996" w:rsidRPr="008717EF" w:rsidRDefault="00A25996" w:rsidP="003225AE">
            <w:pPr>
              <w:pStyle w:val="TableHeading"/>
              <w:spacing w:before="120" w:after="120" w:line="360" w:lineRule="auto"/>
            </w:pPr>
            <w:r w:rsidRPr="008717EF">
              <w:t>3-Month</w:t>
            </w:r>
          </w:p>
        </w:tc>
        <w:tc>
          <w:tcPr>
            <w:tcW w:w="1198" w:type="dxa"/>
            <w:tcBorders>
              <w:top w:val="single" w:sz="4" w:space="0" w:color="auto"/>
              <w:left w:val="single" w:sz="4" w:space="0" w:color="auto"/>
              <w:bottom w:val="single" w:sz="4" w:space="0" w:color="auto"/>
              <w:right w:val="single" w:sz="4" w:space="0" w:color="auto"/>
            </w:tcBorders>
            <w:shd w:val="clear" w:color="auto" w:fill="002060"/>
            <w:vAlign w:val="center"/>
          </w:tcPr>
          <w:p w14:paraId="61B7BF7C" w14:textId="77777777" w:rsidR="00A25996" w:rsidRPr="008717EF" w:rsidRDefault="00A25996" w:rsidP="003225AE">
            <w:pPr>
              <w:pStyle w:val="TableHeading"/>
              <w:spacing w:before="120" w:after="120" w:line="360" w:lineRule="auto"/>
            </w:pPr>
            <w:r w:rsidRPr="008717EF">
              <w:t>6-Month</w:t>
            </w:r>
          </w:p>
        </w:tc>
        <w:tc>
          <w:tcPr>
            <w:tcW w:w="1199" w:type="dxa"/>
            <w:tcBorders>
              <w:top w:val="single" w:sz="4" w:space="0" w:color="auto"/>
              <w:left w:val="single" w:sz="4" w:space="0" w:color="auto"/>
              <w:bottom w:val="single" w:sz="4" w:space="0" w:color="auto"/>
              <w:right w:val="single" w:sz="4" w:space="0" w:color="auto"/>
            </w:tcBorders>
            <w:shd w:val="clear" w:color="auto" w:fill="002060"/>
            <w:vAlign w:val="center"/>
          </w:tcPr>
          <w:p w14:paraId="6139E8AA" w14:textId="77777777" w:rsidR="00A25996" w:rsidRPr="008717EF" w:rsidRDefault="00A25996" w:rsidP="003225AE">
            <w:pPr>
              <w:pStyle w:val="TableHeading"/>
              <w:spacing w:before="120" w:after="120" w:line="360" w:lineRule="auto"/>
            </w:pPr>
            <w:r w:rsidRPr="008717EF">
              <w:t>12-Month</w:t>
            </w:r>
          </w:p>
        </w:tc>
      </w:tr>
      <w:tr w:rsidR="00A25996" w:rsidRPr="008717EF" w14:paraId="3C97063D" w14:textId="77777777" w:rsidTr="00BB1EC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729ADDD" w14:textId="1891D377" w:rsidR="00A25996" w:rsidRPr="008717EF" w:rsidRDefault="00A25996" w:rsidP="00076B9D">
            <w:pPr>
              <w:pStyle w:val="TableText"/>
              <w:numPr>
                <w:ilvl w:val="0"/>
                <w:numId w:val="6"/>
              </w:numPr>
            </w:pPr>
            <w:r w:rsidRPr="008717EF">
              <w:t>Identify top 10% of high-priori</w:t>
            </w:r>
            <w:r w:rsidR="00B73C7B" w:rsidRPr="008717EF">
              <w:t>ty patients</w:t>
            </w:r>
          </w:p>
        </w:tc>
        <w:tc>
          <w:tcPr>
            <w:tcW w:w="1198" w:type="dxa"/>
            <w:tcBorders>
              <w:top w:val="single" w:sz="4" w:space="0" w:color="auto"/>
              <w:left w:val="single" w:sz="4" w:space="0" w:color="auto"/>
              <w:bottom w:val="single" w:sz="4" w:space="0" w:color="auto"/>
              <w:right w:val="single" w:sz="4" w:space="0" w:color="auto"/>
            </w:tcBorders>
            <w:vAlign w:val="center"/>
          </w:tcPr>
          <w:p w14:paraId="74FFEAAC" w14:textId="77777777" w:rsidR="00A25996" w:rsidRPr="008717EF" w:rsidRDefault="00A25996" w:rsidP="00DB29A6">
            <w:pPr>
              <w:pStyle w:val="TableText"/>
            </w:pPr>
            <w:r w:rsidRPr="008717EF">
              <w:sym w:font="Wingdings 2" w:char="F050"/>
            </w:r>
          </w:p>
        </w:tc>
        <w:tc>
          <w:tcPr>
            <w:tcW w:w="1198" w:type="dxa"/>
            <w:tcBorders>
              <w:top w:val="single" w:sz="4" w:space="0" w:color="auto"/>
              <w:left w:val="single" w:sz="4" w:space="0" w:color="auto"/>
              <w:bottom w:val="single" w:sz="4" w:space="0" w:color="auto"/>
              <w:right w:val="single" w:sz="4" w:space="0" w:color="auto"/>
            </w:tcBorders>
            <w:vAlign w:val="center"/>
          </w:tcPr>
          <w:p w14:paraId="18DABE33" w14:textId="77777777" w:rsidR="00A25996" w:rsidRPr="008717EF" w:rsidRDefault="00A25996" w:rsidP="00DB29A6">
            <w:pPr>
              <w:pStyle w:val="TableText"/>
            </w:pPr>
          </w:p>
        </w:tc>
        <w:tc>
          <w:tcPr>
            <w:tcW w:w="1199" w:type="dxa"/>
            <w:tcBorders>
              <w:top w:val="single" w:sz="4" w:space="0" w:color="auto"/>
              <w:left w:val="single" w:sz="4" w:space="0" w:color="auto"/>
              <w:bottom w:val="single" w:sz="4" w:space="0" w:color="auto"/>
              <w:right w:val="single" w:sz="4" w:space="0" w:color="auto"/>
            </w:tcBorders>
            <w:vAlign w:val="center"/>
          </w:tcPr>
          <w:p w14:paraId="1ABF6BCB" w14:textId="77777777" w:rsidR="00A25996" w:rsidRPr="008717EF" w:rsidRDefault="00A25996" w:rsidP="00DB29A6">
            <w:pPr>
              <w:pStyle w:val="TableText"/>
            </w:pPr>
          </w:p>
        </w:tc>
      </w:tr>
      <w:tr w:rsidR="00A25996" w:rsidRPr="008717EF" w14:paraId="5E5322C3" w14:textId="77777777" w:rsidTr="00BB1EC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08D7348B" w14:textId="77777777" w:rsidR="00A25996" w:rsidRPr="008717EF" w:rsidRDefault="00A25996" w:rsidP="00076B9D">
            <w:pPr>
              <w:pStyle w:val="TableText"/>
              <w:numPr>
                <w:ilvl w:val="0"/>
                <w:numId w:val="6"/>
              </w:numPr>
            </w:pPr>
            <w:r w:rsidRPr="008717EF">
              <w:t>Make available 24/7 access to care.</w:t>
            </w:r>
          </w:p>
        </w:tc>
        <w:tc>
          <w:tcPr>
            <w:tcW w:w="1198" w:type="dxa"/>
            <w:tcBorders>
              <w:top w:val="single" w:sz="4" w:space="0" w:color="auto"/>
              <w:left w:val="single" w:sz="4" w:space="0" w:color="auto"/>
              <w:bottom w:val="single" w:sz="4" w:space="0" w:color="auto"/>
              <w:right w:val="single" w:sz="4" w:space="0" w:color="auto"/>
            </w:tcBorders>
            <w:vAlign w:val="center"/>
          </w:tcPr>
          <w:p w14:paraId="43077EEE" w14:textId="77777777" w:rsidR="00A25996" w:rsidRPr="008717EF" w:rsidRDefault="00A25996" w:rsidP="00DB29A6">
            <w:pPr>
              <w:pStyle w:val="TableText"/>
            </w:pPr>
          </w:p>
        </w:tc>
        <w:tc>
          <w:tcPr>
            <w:tcW w:w="1198" w:type="dxa"/>
            <w:tcBorders>
              <w:top w:val="single" w:sz="4" w:space="0" w:color="auto"/>
              <w:left w:val="single" w:sz="4" w:space="0" w:color="auto"/>
              <w:bottom w:val="single" w:sz="4" w:space="0" w:color="auto"/>
              <w:right w:val="single" w:sz="4" w:space="0" w:color="auto"/>
            </w:tcBorders>
            <w:vAlign w:val="center"/>
          </w:tcPr>
          <w:p w14:paraId="119D406A" w14:textId="77777777" w:rsidR="00A25996" w:rsidRPr="008717EF" w:rsidRDefault="00A25996" w:rsidP="00DB29A6">
            <w:pPr>
              <w:pStyle w:val="TableText"/>
            </w:pPr>
            <w:r w:rsidRPr="008717EF">
              <w:sym w:font="Wingdings 2" w:char="F050"/>
            </w:r>
          </w:p>
        </w:tc>
        <w:tc>
          <w:tcPr>
            <w:tcW w:w="1199" w:type="dxa"/>
            <w:tcBorders>
              <w:top w:val="single" w:sz="4" w:space="0" w:color="auto"/>
              <w:left w:val="single" w:sz="4" w:space="0" w:color="auto"/>
              <w:bottom w:val="single" w:sz="4" w:space="0" w:color="auto"/>
              <w:right w:val="single" w:sz="4" w:space="0" w:color="auto"/>
            </w:tcBorders>
            <w:vAlign w:val="center"/>
          </w:tcPr>
          <w:p w14:paraId="58BCCEB7" w14:textId="77777777" w:rsidR="00A25996" w:rsidRPr="008717EF" w:rsidRDefault="00A25996" w:rsidP="00DB29A6">
            <w:pPr>
              <w:pStyle w:val="TableText"/>
            </w:pPr>
          </w:p>
        </w:tc>
      </w:tr>
      <w:tr w:rsidR="00A25996" w:rsidRPr="008717EF" w14:paraId="0A8BA500" w14:textId="77777777" w:rsidTr="00BB1EC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085F989" w14:textId="77777777" w:rsidR="00A25996" w:rsidRPr="008717EF" w:rsidRDefault="00A25996" w:rsidP="00076B9D">
            <w:pPr>
              <w:pStyle w:val="TableText"/>
              <w:numPr>
                <w:ilvl w:val="0"/>
                <w:numId w:val="6"/>
              </w:numPr>
            </w:pPr>
            <w:r w:rsidRPr="008717EF">
              <w:t>Capacity to receive direct e-messaging from patients.</w:t>
            </w:r>
          </w:p>
        </w:tc>
        <w:tc>
          <w:tcPr>
            <w:tcW w:w="1198" w:type="dxa"/>
            <w:tcBorders>
              <w:top w:val="single" w:sz="4" w:space="0" w:color="auto"/>
              <w:left w:val="single" w:sz="4" w:space="0" w:color="auto"/>
              <w:bottom w:val="single" w:sz="4" w:space="0" w:color="auto"/>
              <w:right w:val="single" w:sz="4" w:space="0" w:color="auto"/>
            </w:tcBorders>
            <w:vAlign w:val="center"/>
          </w:tcPr>
          <w:p w14:paraId="3EC2E585" w14:textId="77777777" w:rsidR="00A25996" w:rsidRPr="008717EF" w:rsidRDefault="00A25996" w:rsidP="00DB29A6">
            <w:pPr>
              <w:pStyle w:val="TableText"/>
            </w:pPr>
          </w:p>
        </w:tc>
        <w:tc>
          <w:tcPr>
            <w:tcW w:w="1198" w:type="dxa"/>
            <w:tcBorders>
              <w:top w:val="single" w:sz="4" w:space="0" w:color="auto"/>
              <w:left w:val="single" w:sz="4" w:space="0" w:color="auto"/>
              <w:bottom w:val="single" w:sz="4" w:space="0" w:color="auto"/>
              <w:right w:val="single" w:sz="4" w:space="0" w:color="auto"/>
            </w:tcBorders>
            <w:vAlign w:val="center"/>
          </w:tcPr>
          <w:p w14:paraId="55EBF69B" w14:textId="77777777" w:rsidR="00A25996" w:rsidRPr="008717EF" w:rsidRDefault="00A25996" w:rsidP="00DB29A6">
            <w:pPr>
              <w:pStyle w:val="TableText"/>
            </w:pPr>
            <w:r w:rsidRPr="008717EF">
              <w:sym w:font="Wingdings 2" w:char="F050"/>
            </w:r>
          </w:p>
        </w:tc>
        <w:tc>
          <w:tcPr>
            <w:tcW w:w="1199" w:type="dxa"/>
            <w:tcBorders>
              <w:top w:val="single" w:sz="4" w:space="0" w:color="auto"/>
              <w:left w:val="single" w:sz="4" w:space="0" w:color="auto"/>
              <w:bottom w:val="single" w:sz="4" w:space="0" w:color="auto"/>
              <w:right w:val="single" w:sz="4" w:space="0" w:color="auto"/>
            </w:tcBorders>
            <w:vAlign w:val="center"/>
          </w:tcPr>
          <w:p w14:paraId="58608999" w14:textId="77777777" w:rsidR="00A25996" w:rsidRPr="008717EF" w:rsidRDefault="00A25996" w:rsidP="00DB29A6">
            <w:pPr>
              <w:pStyle w:val="TableText"/>
            </w:pPr>
          </w:p>
        </w:tc>
      </w:tr>
      <w:tr w:rsidR="00A25996" w:rsidRPr="008717EF" w14:paraId="3C19FE4D" w14:textId="77777777" w:rsidTr="00BB1EC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A45B27D" w14:textId="77777777" w:rsidR="00A25996" w:rsidRPr="008717EF" w:rsidRDefault="00A25996" w:rsidP="00076B9D">
            <w:pPr>
              <w:pStyle w:val="TableText"/>
              <w:numPr>
                <w:ilvl w:val="0"/>
                <w:numId w:val="6"/>
              </w:numPr>
            </w:pPr>
            <w:r w:rsidRPr="008717EF">
              <w:t>Childhood / Adult Vaccination Practice Strategy.</w:t>
            </w:r>
          </w:p>
        </w:tc>
        <w:tc>
          <w:tcPr>
            <w:tcW w:w="1198" w:type="dxa"/>
            <w:tcBorders>
              <w:top w:val="single" w:sz="4" w:space="0" w:color="auto"/>
              <w:left w:val="single" w:sz="4" w:space="0" w:color="auto"/>
              <w:bottom w:val="single" w:sz="4" w:space="0" w:color="auto"/>
              <w:right w:val="single" w:sz="4" w:space="0" w:color="auto"/>
            </w:tcBorders>
            <w:vAlign w:val="center"/>
          </w:tcPr>
          <w:p w14:paraId="4EDD35CF" w14:textId="77777777" w:rsidR="00A25996" w:rsidRPr="008717EF" w:rsidRDefault="00A25996" w:rsidP="00DB29A6">
            <w:pPr>
              <w:pStyle w:val="TableText"/>
            </w:pPr>
          </w:p>
        </w:tc>
        <w:tc>
          <w:tcPr>
            <w:tcW w:w="1198" w:type="dxa"/>
            <w:tcBorders>
              <w:top w:val="single" w:sz="4" w:space="0" w:color="auto"/>
              <w:left w:val="single" w:sz="4" w:space="0" w:color="auto"/>
              <w:bottom w:val="single" w:sz="4" w:space="0" w:color="auto"/>
              <w:right w:val="single" w:sz="4" w:space="0" w:color="auto"/>
            </w:tcBorders>
            <w:vAlign w:val="center"/>
          </w:tcPr>
          <w:p w14:paraId="17661C38" w14:textId="77777777" w:rsidR="00A25996" w:rsidRPr="008717EF" w:rsidRDefault="00A25996" w:rsidP="00DB29A6">
            <w:pPr>
              <w:pStyle w:val="TableText"/>
            </w:pPr>
            <w:r w:rsidRPr="008717EF">
              <w:sym w:font="Wingdings 2" w:char="F050"/>
            </w:r>
          </w:p>
        </w:tc>
        <w:tc>
          <w:tcPr>
            <w:tcW w:w="1199" w:type="dxa"/>
            <w:tcBorders>
              <w:top w:val="single" w:sz="4" w:space="0" w:color="auto"/>
              <w:left w:val="single" w:sz="4" w:space="0" w:color="auto"/>
              <w:bottom w:val="single" w:sz="4" w:space="0" w:color="auto"/>
              <w:right w:val="single" w:sz="4" w:space="0" w:color="auto"/>
            </w:tcBorders>
            <w:vAlign w:val="center"/>
          </w:tcPr>
          <w:p w14:paraId="435557E7" w14:textId="77777777" w:rsidR="00A25996" w:rsidRPr="008717EF" w:rsidRDefault="00A25996" w:rsidP="00DB29A6">
            <w:pPr>
              <w:pStyle w:val="TableText"/>
            </w:pPr>
          </w:p>
        </w:tc>
      </w:tr>
      <w:tr w:rsidR="00A25996" w:rsidRPr="008717EF" w14:paraId="74175117" w14:textId="77777777" w:rsidTr="00BB1EC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C3DB174" w14:textId="77777777" w:rsidR="00A25996" w:rsidRPr="008717EF" w:rsidRDefault="00A25996" w:rsidP="00076B9D">
            <w:pPr>
              <w:pStyle w:val="TableText"/>
              <w:numPr>
                <w:ilvl w:val="0"/>
                <w:numId w:val="6"/>
              </w:numPr>
            </w:pPr>
            <w:r w:rsidRPr="008717EF">
              <w:t>Join SHARE or participate in a network that delivers hospital discharge information to practice within 48 hours.</w:t>
            </w:r>
          </w:p>
        </w:tc>
        <w:tc>
          <w:tcPr>
            <w:tcW w:w="1198" w:type="dxa"/>
            <w:tcBorders>
              <w:top w:val="single" w:sz="4" w:space="0" w:color="auto"/>
              <w:left w:val="single" w:sz="4" w:space="0" w:color="auto"/>
              <w:bottom w:val="single" w:sz="4" w:space="0" w:color="auto"/>
              <w:right w:val="single" w:sz="4" w:space="0" w:color="auto"/>
            </w:tcBorders>
            <w:vAlign w:val="center"/>
          </w:tcPr>
          <w:p w14:paraId="75CD950A" w14:textId="77777777" w:rsidR="00A25996" w:rsidRPr="008717EF" w:rsidRDefault="00A25996" w:rsidP="00DB29A6">
            <w:pPr>
              <w:pStyle w:val="TableText"/>
            </w:pPr>
          </w:p>
        </w:tc>
        <w:tc>
          <w:tcPr>
            <w:tcW w:w="1198" w:type="dxa"/>
            <w:tcBorders>
              <w:top w:val="single" w:sz="4" w:space="0" w:color="auto"/>
              <w:left w:val="single" w:sz="4" w:space="0" w:color="auto"/>
              <w:bottom w:val="single" w:sz="4" w:space="0" w:color="auto"/>
              <w:right w:val="single" w:sz="4" w:space="0" w:color="auto"/>
            </w:tcBorders>
            <w:vAlign w:val="center"/>
          </w:tcPr>
          <w:p w14:paraId="6ADBA208" w14:textId="77777777" w:rsidR="00A25996" w:rsidRPr="008717EF" w:rsidRDefault="00A25996" w:rsidP="00DB29A6">
            <w:pPr>
              <w:pStyle w:val="TableText"/>
            </w:pPr>
            <w:r w:rsidRPr="008717EF">
              <w:sym w:font="Wingdings 2" w:char="F050"/>
            </w:r>
          </w:p>
        </w:tc>
        <w:tc>
          <w:tcPr>
            <w:tcW w:w="1199" w:type="dxa"/>
            <w:tcBorders>
              <w:top w:val="single" w:sz="4" w:space="0" w:color="auto"/>
              <w:left w:val="single" w:sz="4" w:space="0" w:color="auto"/>
              <w:bottom w:val="single" w:sz="4" w:space="0" w:color="auto"/>
              <w:right w:val="single" w:sz="4" w:space="0" w:color="auto"/>
            </w:tcBorders>
            <w:vAlign w:val="center"/>
          </w:tcPr>
          <w:p w14:paraId="06E4016C" w14:textId="77777777" w:rsidR="00A25996" w:rsidRPr="008717EF" w:rsidRDefault="00A25996" w:rsidP="00DB29A6">
            <w:pPr>
              <w:pStyle w:val="TableText"/>
            </w:pPr>
          </w:p>
        </w:tc>
      </w:tr>
      <w:tr w:rsidR="002C6EA6" w:rsidRPr="008717EF" w14:paraId="280AA4BF" w14:textId="77777777" w:rsidTr="00BB1EC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CD6DE0C" w14:textId="383C7686" w:rsidR="002C6EA6" w:rsidRPr="008717EF" w:rsidRDefault="002C6EA6" w:rsidP="002C6EA6">
            <w:pPr>
              <w:pStyle w:val="TableText"/>
              <w:numPr>
                <w:ilvl w:val="0"/>
                <w:numId w:val="6"/>
              </w:numPr>
            </w:pPr>
            <w:r w:rsidRPr="008717EF">
              <w:t>Track third available appointment</w:t>
            </w:r>
          </w:p>
        </w:tc>
        <w:tc>
          <w:tcPr>
            <w:tcW w:w="1198" w:type="dxa"/>
            <w:tcBorders>
              <w:top w:val="single" w:sz="4" w:space="0" w:color="auto"/>
              <w:left w:val="single" w:sz="4" w:space="0" w:color="auto"/>
              <w:bottom w:val="single" w:sz="4" w:space="0" w:color="auto"/>
              <w:right w:val="single" w:sz="4" w:space="0" w:color="auto"/>
            </w:tcBorders>
            <w:vAlign w:val="center"/>
          </w:tcPr>
          <w:p w14:paraId="4A112A41" w14:textId="77777777" w:rsidR="002C6EA6" w:rsidRPr="008717EF" w:rsidRDefault="002C6EA6" w:rsidP="002C6EA6">
            <w:pPr>
              <w:pStyle w:val="TableText"/>
            </w:pPr>
          </w:p>
        </w:tc>
        <w:tc>
          <w:tcPr>
            <w:tcW w:w="1198" w:type="dxa"/>
            <w:tcBorders>
              <w:top w:val="single" w:sz="4" w:space="0" w:color="auto"/>
              <w:left w:val="single" w:sz="4" w:space="0" w:color="auto"/>
              <w:bottom w:val="single" w:sz="4" w:space="0" w:color="auto"/>
              <w:right w:val="single" w:sz="4" w:space="0" w:color="auto"/>
            </w:tcBorders>
            <w:vAlign w:val="center"/>
          </w:tcPr>
          <w:p w14:paraId="0F8EECC9" w14:textId="65371E32" w:rsidR="002C6EA6" w:rsidRPr="008717EF" w:rsidRDefault="002C6EA6" w:rsidP="002C6EA6">
            <w:pPr>
              <w:pStyle w:val="TableText"/>
            </w:pPr>
          </w:p>
        </w:tc>
        <w:tc>
          <w:tcPr>
            <w:tcW w:w="1199" w:type="dxa"/>
            <w:tcBorders>
              <w:top w:val="single" w:sz="4" w:space="0" w:color="auto"/>
              <w:left w:val="single" w:sz="4" w:space="0" w:color="auto"/>
              <w:bottom w:val="single" w:sz="4" w:space="0" w:color="auto"/>
              <w:right w:val="single" w:sz="4" w:space="0" w:color="auto"/>
            </w:tcBorders>
            <w:vAlign w:val="center"/>
          </w:tcPr>
          <w:p w14:paraId="791EA771" w14:textId="20DD3730" w:rsidR="002C6EA6" w:rsidRPr="008717EF" w:rsidRDefault="003B0431" w:rsidP="002C6EA6">
            <w:pPr>
              <w:pStyle w:val="TableText"/>
            </w:pPr>
            <w:r w:rsidRPr="008717EF">
              <w:sym w:font="Wingdings 2" w:char="F050"/>
            </w:r>
          </w:p>
        </w:tc>
      </w:tr>
      <w:tr w:rsidR="00A25996" w:rsidRPr="008717EF" w14:paraId="257CD1C2" w14:textId="77777777" w:rsidTr="00BB1EC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F79F398" w14:textId="77777777" w:rsidR="00A25996" w:rsidRPr="008717EF" w:rsidRDefault="00A25996" w:rsidP="00076B9D">
            <w:pPr>
              <w:pStyle w:val="TableText"/>
              <w:numPr>
                <w:ilvl w:val="0"/>
                <w:numId w:val="6"/>
              </w:numPr>
            </w:pPr>
            <w:r w:rsidRPr="008717EF">
              <w:t>Care Plans for High Priority Patients</w:t>
            </w:r>
          </w:p>
        </w:tc>
        <w:tc>
          <w:tcPr>
            <w:tcW w:w="1198" w:type="dxa"/>
            <w:tcBorders>
              <w:top w:val="single" w:sz="4" w:space="0" w:color="auto"/>
              <w:left w:val="single" w:sz="4" w:space="0" w:color="auto"/>
              <w:bottom w:val="single" w:sz="4" w:space="0" w:color="auto"/>
              <w:right w:val="single" w:sz="4" w:space="0" w:color="auto"/>
            </w:tcBorders>
            <w:vAlign w:val="center"/>
          </w:tcPr>
          <w:p w14:paraId="2482E450" w14:textId="77777777" w:rsidR="00A25996" w:rsidRPr="008717EF" w:rsidRDefault="00A25996" w:rsidP="00DB29A6">
            <w:pPr>
              <w:pStyle w:val="TableText"/>
            </w:pPr>
          </w:p>
        </w:tc>
        <w:tc>
          <w:tcPr>
            <w:tcW w:w="1198" w:type="dxa"/>
            <w:tcBorders>
              <w:top w:val="single" w:sz="4" w:space="0" w:color="auto"/>
              <w:left w:val="single" w:sz="4" w:space="0" w:color="auto"/>
              <w:bottom w:val="single" w:sz="4" w:space="0" w:color="auto"/>
              <w:right w:val="single" w:sz="4" w:space="0" w:color="auto"/>
            </w:tcBorders>
            <w:vAlign w:val="center"/>
          </w:tcPr>
          <w:p w14:paraId="4C7D9F96" w14:textId="77777777" w:rsidR="00A25996" w:rsidRPr="008717EF" w:rsidRDefault="00A25996" w:rsidP="00DB29A6">
            <w:pPr>
              <w:pStyle w:val="TableText"/>
            </w:pPr>
          </w:p>
        </w:tc>
        <w:tc>
          <w:tcPr>
            <w:tcW w:w="1199" w:type="dxa"/>
            <w:tcBorders>
              <w:top w:val="single" w:sz="4" w:space="0" w:color="auto"/>
              <w:left w:val="single" w:sz="4" w:space="0" w:color="auto"/>
              <w:bottom w:val="single" w:sz="4" w:space="0" w:color="auto"/>
              <w:right w:val="single" w:sz="4" w:space="0" w:color="auto"/>
            </w:tcBorders>
            <w:vAlign w:val="center"/>
          </w:tcPr>
          <w:p w14:paraId="0A60251F" w14:textId="77777777" w:rsidR="00A25996" w:rsidRPr="008717EF" w:rsidRDefault="00A25996" w:rsidP="00DB29A6">
            <w:pPr>
              <w:pStyle w:val="TableText"/>
            </w:pPr>
            <w:r w:rsidRPr="008717EF">
              <w:sym w:font="Wingdings 2" w:char="F050"/>
            </w:r>
          </w:p>
        </w:tc>
      </w:tr>
      <w:tr w:rsidR="00A25996" w:rsidRPr="008717EF" w14:paraId="143D7BF8" w14:textId="77777777" w:rsidTr="00BB1EC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087BB7F" w14:textId="77777777" w:rsidR="00A25996" w:rsidRPr="008717EF" w:rsidRDefault="00A25996" w:rsidP="00076B9D">
            <w:pPr>
              <w:pStyle w:val="TableText"/>
              <w:numPr>
                <w:ilvl w:val="0"/>
                <w:numId w:val="6"/>
              </w:numPr>
            </w:pPr>
            <w:r w:rsidRPr="008717EF">
              <w:lastRenderedPageBreak/>
              <w:t>Patient Literacy Assessment Tool</w:t>
            </w:r>
          </w:p>
        </w:tc>
        <w:tc>
          <w:tcPr>
            <w:tcW w:w="1198" w:type="dxa"/>
            <w:tcBorders>
              <w:top w:val="single" w:sz="4" w:space="0" w:color="auto"/>
              <w:left w:val="single" w:sz="4" w:space="0" w:color="auto"/>
              <w:bottom w:val="single" w:sz="4" w:space="0" w:color="auto"/>
              <w:right w:val="single" w:sz="4" w:space="0" w:color="auto"/>
            </w:tcBorders>
            <w:vAlign w:val="center"/>
          </w:tcPr>
          <w:p w14:paraId="3230BD92" w14:textId="77777777" w:rsidR="00A25996" w:rsidRPr="008717EF" w:rsidRDefault="00A25996" w:rsidP="00DB29A6">
            <w:pPr>
              <w:pStyle w:val="TableText"/>
            </w:pPr>
          </w:p>
        </w:tc>
        <w:tc>
          <w:tcPr>
            <w:tcW w:w="1198" w:type="dxa"/>
            <w:tcBorders>
              <w:top w:val="single" w:sz="4" w:space="0" w:color="auto"/>
              <w:left w:val="single" w:sz="4" w:space="0" w:color="auto"/>
              <w:bottom w:val="single" w:sz="4" w:space="0" w:color="auto"/>
              <w:right w:val="single" w:sz="4" w:space="0" w:color="auto"/>
            </w:tcBorders>
            <w:vAlign w:val="center"/>
          </w:tcPr>
          <w:p w14:paraId="12E559FE" w14:textId="77777777" w:rsidR="00A25996" w:rsidRPr="008717EF" w:rsidRDefault="00A25996" w:rsidP="00DB29A6">
            <w:pPr>
              <w:pStyle w:val="TableText"/>
            </w:pPr>
          </w:p>
        </w:tc>
        <w:tc>
          <w:tcPr>
            <w:tcW w:w="1199" w:type="dxa"/>
            <w:tcBorders>
              <w:top w:val="single" w:sz="4" w:space="0" w:color="auto"/>
              <w:left w:val="single" w:sz="4" w:space="0" w:color="auto"/>
              <w:bottom w:val="single" w:sz="4" w:space="0" w:color="auto"/>
              <w:right w:val="single" w:sz="4" w:space="0" w:color="auto"/>
            </w:tcBorders>
            <w:vAlign w:val="center"/>
          </w:tcPr>
          <w:p w14:paraId="03BA117C" w14:textId="77777777" w:rsidR="00A25996" w:rsidRPr="008717EF" w:rsidRDefault="00A25996" w:rsidP="00DB29A6">
            <w:pPr>
              <w:pStyle w:val="TableText"/>
            </w:pPr>
            <w:r w:rsidRPr="008717EF">
              <w:sym w:font="Wingdings 2" w:char="F050"/>
            </w:r>
          </w:p>
        </w:tc>
      </w:tr>
      <w:tr w:rsidR="00E514E0" w:rsidRPr="008717EF" w14:paraId="4C144E20" w14:textId="77777777" w:rsidTr="00BB1EC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927639A" w14:textId="2E46D8E3" w:rsidR="00E514E0" w:rsidRPr="008717EF" w:rsidRDefault="00674E18" w:rsidP="00076B9D">
            <w:pPr>
              <w:pStyle w:val="TableText"/>
              <w:numPr>
                <w:ilvl w:val="0"/>
                <w:numId w:val="6"/>
              </w:numPr>
            </w:pPr>
            <w:r w:rsidRPr="008717EF">
              <w:t>Patient and Family Engagement</w:t>
            </w:r>
          </w:p>
        </w:tc>
        <w:tc>
          <w:tcPr>
            <w:tcW w:w="1198" w:type="dxa"/>
            <w:tcBorders>
              <w:top w:val="single" w:sz="4" w:space="0" w:color="auto"/>
              <w:left w:val="single" w:sz="4" w:space="0" w:color="auto"/>
              <w:bottom w:val="single" w:sz="4" w:space="0" w:color="auto"/>
              <w:right w:val="single" w:sz="4" w:space="0" w:color="auto"/>
            </w:tcBorders>
            <w:vAlign w:val="center"/>
          </w:tcPr>
          <w:p w14:paraId="6724D9EB" w14:textId="77777777" w:rsidR="00E514E0" w:rsidRPr="008717EF" w:rsidRDefault="00E514E0" w:rsidP="00DB29A6">
            <w:pPr>
              <w:pStyle w:val="TableText"/>
            </w:pPr>
          </w:p>
        </w:tc>
        <w:tc>
          <w:tcPr>
            <w:tcW w:w="1198" w:type="dxa"/>
            <w:tcBorders>
              <w:top w:val="single" w:sz="4" w:space="0" w:color="auto"/>
              <w:left w:val="single" w:sz="4" w:space="0" w:color="auto"/>
              <w:bottom w:val="single" w:sz="4" w:space="0" w:color="auto"/>
              <w:right w:val="single" w:sz="4" w:space="0" w:color="auto"/>
            </w:tcBorders>
            <w:vAlign w:val="center"/>
          </w:tcPr>
          <w:p w14:paraId="0BC8F772" w14:textId="77777777" w:rsidR="00E514E0" w:rsidRPr="008717EF" w:rsidRDefault="00E514E0" w:rsidP="00DB29A6">
            <w:pPr>
              <w:pStyle w:val="TableText"/>
            </w:pPr>
          </w:p>
        </w:tc>
        <w:tc>
          <w:tcPr>
            <w:tcW w:w="1199" w:type="dxa"/>
            <w:tcBorders>
              <w:top w:val="single" w:sz="4" w:space="0" w:color="auto"/>
              <w:left w:val="single" w:sz="4" w:space="0" w:color="auto"/>
              <w:bottom w:val="single" w:sz="4" w:space="0" w:color="auto"/>
              <w:right w:val="single" w:sz="4" w:space="0" w:color="auto"/>
            </w:tcBorders>
            <w:vAlign w:val="center"/>
          </w:tcPr>
          <w:p w14:paraId="37C9998B" w14:textId="3AEF5381" w:rsidR="00E514E0" w:rsidRPr="008717EF" w:rsidRDefault="00302BDA" w:rsidP="00DB29A6">
            <w:pPr>
              <w:pStyle w:val="TableText"/>
            </w:pPr>
            <w:r w:rsidRPr="008717EF">
              <w:sym w:font="Wingdings 2" w:char="F050"/>
            </w:r>
          </w:p>
        </w:tc>
      </w:tr>
      <w:tr w:rsidR="00A25996" w:rsidRPr="008717EF" w14:paraId="2F4DEEB0" w14:textId="77777777" w:rsidTr="00BB1EC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173D1C9" w14:textId="77777777" w:rsidR="00A25996" w:rsidRPr="008717EF" w:rsidRDefault="00A25996" w:rsidP="00076B9D">
            <w:pPr>
              <w:pStyle w:val="TableText"/>
              <w:numPr>
                <w:ilvl w:val="0"/>
                <w:numId w:val="6"/>
              </w:numPr>
            </w:pPr>
            <w:r w:rsidRPr="008717EF">
              <w:t>Care instructions for High Priority Patients</w:t>
            </w:r>
          </w:p>
        </w:tc>
        <w:tc>
          <w:tcPr>
            <w:tcW w:w="1198" w:type="dxa"/>
            <w:tcBorders>
              <w:top w:val="single" w:sz="4" w:space="0" w:color="auto"/>
              <w:left w:val="single" w:sz="4" w:space="0" w:color="auto"/>
              <w:bottom w:val="single" w:sz="4" w:space="0" w:color="auto"/>
              <w:right w:val="single" w:sz="4" w:space="0" w:color="auto"/>
            </w:tcBorders>
            <w:vAlign w:val="center"/>
          </w:tcPr>
          <w:p w14:paraId="7343CA6F" w14:textId="77777777" w:rsidR="00A25996" w:rsidRPr="008717EF" w:rsidRDefault="00A25996" w:rsidP="00DB29A6">
            <w:pPr>
              <w:pStyle w:val="TableText"/>
            </w:pPr>
          </w:p>
        </w:tc>
        <w:tc>
          <w:tcPr>
            <w:tcW w:w="1198" w:type="dxa"/>
            <w:tcBorders>
              <w:top w:val="single" w:sz="4" w:space="0" w:color="auto"/>
              <w:left w:val="single" w:sz="4" w:space="0" w:color="auto"/>
              <w:bottom w:val="single" w:sz="4" w:space="0" w:color="auto"/>
              <w:right w:val="single" w:sz="4" w:space="0" w:color="auto"/>
            </w:tcBorders>
            <w:vAlign w:val="center"/>
          </w:tcPr>
          <w:p w14:paraId="0AB9E9EE" w14:textId="77777777" w:rsidR="00A25996" w:rsidRPr="008717EF" w:rsidRDefault="00A25996" w:rsidP="00DB29A6">
            <w:pPr>
              <w:pStyle w:val="TableText"/>
            </w:pPr>
          </w:p>
        </w:tc>
        <w:tc>
          <w:tcPr>
            <w:tcW w:w="1199" w:type="dxa"/>
            <w:tcBorders>
              <w:top w:val="single" w:sz="4" w:space="0" w:color="auto"/>
              <w:left w:val="single" w:sz="4" w:space="0" w:color="auto"/>
              <w:bottom w:val="single" w:sz="4" w:space="0" w:color="auto"/>
              <w:right w:val="single" w:sz="4" w:space="0" w:color="auto"/>
            </w:tcBorders>
            <w:vAlign w:val="center"/>
          </w:tcPr>
          <w:p w14:paraId="19500EA1" w14:textId="77777777" w:rsidR="00A25996" w:rsidRPr="008717EF" w:rsidRDefault="00A25996" w:rsidP="00DB29A6">
            <w:pPr>
              <w:pStyle w:val="TableText"/>
            </w:pPr>
            <w:r w:rsidRPr="008717EF">
              <w:sym w:font="Wingdings 2" w:char="F050"/>
            </w:r>
          </w:p>
        </w:tc>
      </w:tr>
      <w:tr w:rsidR="00EA3CDC" w:rsidRPr="008717EF" w14:paraId="1FA24DBC" w14:textId="0319FFB7" w:rsidTr="00BB1ECF">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179D56C" w14:textId="37C6BE11" w:rsidR="00EA3CDC" w:rsidRPr="008717EF" w:rsidRDefault="00EA3CDC" w:rsidP="00076B9D">
            <w:pPr>
              <w:pStyle w:val="TableText"/>
              <w:numPr>
                <w:ilvl w:val="0"/>
                <w:numId w:val="6"/>
              </w:numPr>
            </w:pPr>
            <w:r w:rsidRPr="008717EF">
              <w:t>Social Determinants of Health</w:t>
            </w:r>
          </w:p>
        </w:tc>
        <w:tc>
          <w:tcPr>
            <w:tcW w:w="1198" w:type="dxa"/>
            <w:tcBorders>
              <w:top w:val="single" w:sz="4" w:space="0" w:color="auto"/>
              <w:left w:val="single" w:sz="4" w:space="0" w:color="auto"/>
              <w:bottom w:val="single" w:sz="4" w:space="0" w:color="auto"/>
              <w:right w:val="single" w:sz="4" w:space="0" w:color="auto"/>
            </w:tcBorders>
            <w:vAlign w:val="center"/>
          </w:tcPr>
          <w:p w14:paraId="49FD7EAE" w14:textId="5741EC15" w:rsidR="00EA3CDC" w:rsidRPr="008717EF" w:rsidRDefault="00EA3CDC" w:rsidP="00DB29A6">
            <w:pPr>
              <w:pStyle w:val="TableText"/>
            </w:pPr>
          </w:p>
        </w:tc>
        <w:tc>
          <w:tcPr>
            <w:tcW w:w="1198" w:type="dxa"/>
            <w:tcBorders>
              <w:top w:val="single" w:sz="4" w:space="0" w:color="auto"/>
              <w:left w:val="single" w:sz="4" w:space="0" w:color="auto"/>
              <w:bottom w:val="single" w:sz="4" w:space="0" w:color="auto"/>
              <w:right w:val="single" w:sz="4" w:space="0" w:color="auto"/>
            </w:tcBorders>
            <w:vAlign w:val="center"/>
          </w:tcPr>
          <w:p w14:paraId="1CF1A903" w14:textId="170AC55C" w:rsidR="00EA3CDC" w:rsidRPr="008717EF" w:rsidRDefault="00EA3CDC" w:rsidP="00DB29A6">
            <w:pPr>
              <w:pStyle w:val="TableText"/>
            </w:pPr>
          </w:p>
        </w:tc>
        <w:tc>
          <w:tcPr>
            <w:tcW w:w="1199" w:type="dxa"/>
            <w:tcBorders>
              <w:top w:val="single" w:sz="4" w:space="0" w:color="auto"/>
              <w:left w:val="single" w:sz="4" w:space="0" w:color="auto"/>
              <w:bottom w:val="single" w:sz="4" w:space="0" w:color="auto"/>
              <w:right w:val="single" w:sz="4" w:space="0" w:color="auto"/>
            </w:tcBorders>
            <w:vAlign w:val="center"/>
          </w:tcPr>
          <w:p w14:paraId="7DED9CB9" w14:textId="6C7FEFA8" w:rsidR="00EA3CDC" w:rsidRPr="008717EF" w:rsidRDefault="00EA3CDC" w:rsidP="00DB29A6">
            <w:pPr>
              <w:pStyle w:val="TableText"/>
            </w:pPr>
            <w:r w:rsidRPr="008717EF">
              <w:sym w:font="Wingdings 2" w:char="F050"/>
            </w:r>
          </w:p>
        </w:tc>
      </w:tr>
    </w:tbl>
    <w:p w14:paraId="31C04C0A" w14:textId="77777777" w:rsidR="00A25996" w:rsidRPr="008717EF" w:rsidRDefault="00A25996" w:rsidP="003225AE">
      <w:pPr>
        <w:spacing w:line="360" w:lineRule="auto"/>
      </w:pPr>
      <w:bookmarkStart w:id="58" w:name="_Low_Performance_Core"/>
      <w:bookmarkEnd w:id="58"/>
    </w:p>
    <w:p w14:paraId="3931E91C" w14:textId="77777777" w:rsidR="00A25996" w:rsidRPr="008717EF" w:rsidRDefault="00A25996" w:rsidP="003225AE">
      <w:pPr>
        <w:pStyle w:val="Heading2"/>
        <w:numPr>
          <w:ilvl w:val="0"/>
          <w:numId w:val="0"/>
        </w:numPr>
        <w:spacing w:before="120" w:line="360" w:lineRule="auto"/>
        <w:ind w:left="576" w:hanging="576"/>
      </w:pPr>
      <w:bookmarkStart w:id="59" w:name="_Low_Performance_Core_1"/>
      <w:bookmarkStart w:id="60" w:name="_Toc113888465"/>
      <w:bookmarkEnd w:id="59"/>
      <w:r w:rsidRPr="008717EF">
        <w:t>Details on Activities Tracked for Practice Support</w:t>
      </w:r>
      <w:bookmarkEnd w:id="60"/>
    </w:p>
    <w:p w14:paraId="4AC8A9F8" w14:textId="77777777" w:rsidR="00A25996" w:rsidRPr="008717EF" w:rsidRDefault="00A25996" w:rsidP="003225AE">
      <w:pPr>
        <w:spacing w:line="360" w:lineRule="auto"/>
        <w:rPr>
          <w:lang w:eastAsia="ja-JP"/>
        </w:rPr>
      </w:pPr>
    </w:p>
    <w:p w14:paraId="0F2D5DEC" w14:textId="5F9DAE70" w:rsidR="00A25996" w:rsidRPr="008717EF" w:rsidRDefault="00A25996" w:rsidP="003225AE">
      <w:pPr>
        <w:pStyle w:val="Heading3"/>
        <w:numPr>
          <w:ilvl w:val="0"/>
          <w:numId w:val="0"/>
        </w:numPr>
        <w:spacing w:before="120" w:line="360" w:lineRule="auto"/>
        <w:ind w:left="1350" w:hanging="1350"/>
      </w:pPr>
      <w:bookmarkStart w:id="61" w:name="_Toc113888466"/>
      <w:r w:rsidRPr="008717EF">
        <w:t>Activity A: Identify top 10% of high-priority patients</w:t>
      </w:r>
      <w:bookmarkEnd w:id="61"/>
    </w:p>
    <w:tbl>
      <w:tblPr>
        <w:tblStyle w:val="TableGrid"/>
        <w:tblW w:w="5000" w:type="pct"/>
        <w:tblLook w:val="04A0" w:firstRow="1" w:lastRow="0" w:firstColumn="1" w:lastColumn="0" w:noHBand="0" w:noVBand="1"/>
      </w:tblPr>
      <w:tblGrid>
        <w:gridCol w:w="12950"/>
      </w:tblGrid>
      <w:tr w:rsidR="00A25996" w:rsidRPr="008717EF" w14:paraId="69D69599" w14:textId="77777777" w:rsidTr="00BB1ECF">
        <w:trPr>
          <w:cantSplit/>
          <w:tblHeader/>
        </w:trPr>
        <w:tc>
          <w:tcPr>
            <w:tcW w:w="5000" w:type="pct"/>
            <w:shd w:val="clear" w:color="auto" w:fill="002060"/>
            <w:vAlign w:val="center"/>
          </w:tcPr>
          <w:p w14:paraId="5A78DD81" w14:textId="5E767382" w:rsidR="00A25996" w:rsidRPr="008717EF" w:rsidRDefault="00A25996" w:rsidP="003225AE">
            <w:pPr>
              <w:pStyle w:val="TableHeading"/>
              <w:spacing w:before="120" w:after="120" w:line="360" w:lineRule="auto"/>
            </w:pPr>
            <w:r w:rsidRPr="008717EF">
              <w:t>Activity A Deadline: 3/31/</w:t>
            </w:r>
            <w:r w:rsidR="00296F01" w:rsidRPr="008717EF">
              <w:t>202</w:t>
            </w:r>
            <w:r w:rsidR="00296F01">
              <w:t>3</w:t>
            </w:r>
            <w:r w:rsidR="00296F01" w:rsidRPr="008717EF">
              <w:t xml:space="preserve"> </w:t>
            </w:r>
          </w:p>
        </w:tc>
      </w:tr>
      <w:tr w:rsidR="00A25996" w:rsidRPr="008717EF" w14:paraId="408E1E30" w14:textId="77777777" w:rsidTr="00BB1ECF">
        <w:trPr>
          <w:cantSplit/>
        </w:trPr>
        <w:tc>
          <w:tcPr>
            <w:tcW w:w="5000" w:type="pct"/>
          </w:tcPr>
          <w:p w14:paraId="6835F276" w14:textId="77777777" w:rsidR="00A25996" w:rsidRPr="008717EF" w:rsidRDefault="00A25996" w:rsidP="00425466">
            <w:pPr>
              <w:pStyle w:val="ListParagraph"/>
              <w:numPr>
                <w:ilvl w:val="0"/>
                <w:numId w:val="8"/>
              </w:numPr>
            </w:pPr>
            <w:r w:rsidRPr="008717EF">
              <w:t>Perform this by using:</w:t>
            </w:r>
          </w:p>
          <w:p w14:paraId="78A37793" w14:textId="77AB6EAB" w:rsidR="00A25996" w:rsidRPr="008717EF" w:rsidRDefault="00A25996" w:rsidP="00425466">
            <w:pPr>
              <w:pStyle w:val="ListParagraph"/>
              <w:numPr>
                <w:ilvl w:val="1"/>
                <w:numId w:val="8"/>
              </w:numPr>
            </w:pPr>
            <w:r w:rsidRPr="008717EF">
              <w:t>DMS patient panel data that ranks patients by risk at beginning of performance period</w:t>
            </w:r>
            <w:r w:rsidR="003D3BEC" w:rsidRPr="008717EF">
              <w:t>;</w:t>
            </w:r>
            <w:r w:rsidRPr="008717EF">
              <w:t xml:space="preserve"> and/or</w:t>
            </w:r>
            <w:r w:rsidR="003D3BEC" w:rsidRPr="008717EF">
              <w:t>,</w:t>
            </w:r>
          </w:p>
          <w:p w14:paraId="322F3305" w14:textId="77777777" w:rsidR="00A25996" w:rsidRPr="008717EF" w:rsidRDefault="00A25996" w:rsidP="00425466">
            <w:pPr>
              <w:pStyle w:val="ListParagraph"/>
              <w:numPr>
                <w:ilvl w:val="1"/>
                <w:numId w:val="8"/>
              </w:numPr>
            </w:pPr>
            <w:r w:rsidRPr="008717EF">
              <w:t>The practice’s patient-centered assessment to determine which patients are high-priority.</w:t>
            </w:r>
          </w:p>
          <w:p w14:paraId="57C520F4" w14:textId="597B7813" w:rsidR="00A25996" w:rsidRPr="008717EF" w:rsidRDefault="00A25996" w:rsidP="00425466">
            <w:pPr>
              <w:pStyle w:val="ListParagraph"/>
              <w:numPr>
                <w:ilvl w:val="0"/>
                <w:numId w:val="8"/>
              </w:numPr>
            </w:pPr>
            <w:r w:rsidRPr="008717EF">
              <w:t xml:space="preserve">Submit this list to DMS via the </w:t>
            </w:r>
            <w:r w:rsidR="0006123A" w:rsidRPr="008717EF">
              <w:t xml:space="preserve">QCI </w:t>
            </w:r>
            <w:r w:rsidRPr="008717EF">
              <w:t>provider portal.</w:t>
            </w:r>
          </w:p>
        </w:tc>
      </w:tr>
    </w:tbl>
    <w:p w14:paraId="2728E058" w14:textId="77777777" w:rsidR="00A25996" w:rsidRPr="008717EF" w:rsidRDefault="00A25996" w:rsidP="003225AE">
      <w:pPr>
        <w:spacing w:line="360" w:lineRule="auto"/>
      </w:pPr>
    </w:p>
    <w:p w14:paraId="66335FB1" w14:textId="77777777" w:rsidR="00A25996" w:rsidRPr="008717EF" w:rsidRDefault="00A25996" w:rsidP="003225AE">
      <w:pPr>
        <w:spacing w:line="360" w:lineRule="auto"/>
        <w:sectPr w:rsidR="00A25996" w:rsidRPr="008717EF" w:rsidSect="00BB1ECF">
          <w:headerReference w:type="even" r:id="rId25"/>
          <w:headerReference w:type="default" r:id="rId26"/>
          <w:footerReference w:type="default" r:id="rId27"/>
          <w:headerReference w:type="first" r:id="rId28"/>
          <w:pgSz w:w="15840" w:h="12240" w:orient="landscape"/>
          <w:pgMar w:top="1440" w:right="1440" w:bottom="1440" w:left="1440" w:header="720" w:footer="720" w:gutter="0"/>
          <w:cols w:space="720"/>
          <w:docGrid w:linePitch="360"/>
        </w:sectPr>
      </w:pPr>
    </w:p>
    <w:p w14:paraId="5BEAED54" w14:textId="77777777" w:rsidR="00A25996" w:rsidRPr="008717EF" w:rsidRDefault="00A25996" w:rsidP="003225AE">
      <w:pPr>
        <w:pStyle w:val="Heading3"/>
        <w:numPr>
          <w:ilvl w:val="0"/>
          <w:numId w:val="0"/>
        </w:numPr>
        <w:spacing w:before="120" w:line="360" w:lineRule="auto"/>
        <w:ind w:left="1350" w:hanging="1350"/>
      </w:pPr>
      <w:bookmarkStart w:id="62" w:name="_Toc113888467"/>
      <w:r w:rsidRPr="008717EF">
        <w:lastRenderedPageBreak/>
        <w:t>Activity B: Make available 24/7 access to care</w:t>
      </w:r>
      <w:bookmarkEnd w:id="62"/>
    </w:p>
    <w:tbl>
      <w:tblPr>
        <w:tblStyle w:val="TableGrid"/>
        <w:tblW w:w="5000" w:type="pct"/>
        <w:tblLook w:val="04A0" w:firstRow="1" w:lastRow="0" w:firstColumn="1" w:lastColumn="0" w:noHBand="0" w:noVBand="1"/>
      </w:tblPr>
      <w:tblGrid>
        <w:gridCol w:w="12950"/>
      </w:tblGrid>
      <w:tr w:rsidR="00A25996" w:rsidRPr="008717EF" w14:paraId="2C36B945" w14:textId="77777777" w:rsidTr="00BB1ECF">
        <w:trPr>
          <w:cantSplit/>
          <w:tblHeader/>
        </w:trPr>
        <w:tc>
          <w:tcPr>
            <w:tcW w:w="5000" w:type="pct"/>
            <w:shd w:val="clear" w:color="auto" w:fill="002060"/>
            <w:vAlign w:val="center"/>
          </w:tcPr>
          <w:p w14:paraId="5E9F9C29" w14:textId="013A1A32" w:rsidR="00A25996" w:rsidRPr="008717EF" w:rsidRDefault="00A25996" w:rsidP="003225AE">
            <w:pPr>
              <w:pStyle w:val="TableHeading"/>
              <w:spacing w:before="120" w:after="120" w:line="360" w:lineRule="auto"/>
            </w:pPr>
            <w:r w:rsidRPr="008717EF">
              <w:t>Activity B Deadline: 6/30/</w:t>
            </w:r>
            <w:r w:rsidR="00296F01" w:rsidRPr="008717EF">
              <w:t>202</w:t>
            </w:r>
            <w:r w:rsidR="00296F01">
              <w:t>3</w:t>
            </w:r>
          </w:p>
        </w:tc>
      </w:tr>
      <w:tr w:rsidR="00A25996" w:rsidRPr="008717EF" w14:paraId="240F7C1F" w14:textId="77777777" w:rsidTr="00BB1ECF">
        <w:trPr>
          <w:cantSplit/>
        </w:trPr>
        <w:tc>
          <w:tcPr>
            <w:tcW w:w="5000" w:type="pct"/>
          </w:tcPr>
          <w:p w14:paraId="4A6E66E1" w14:textId="77777777" w:rsidR="00A25996" w:rsidRPr="008717EF" w:rsidRDefault="00A25996" w:rsidP="00425466">
            <w:pPr>
              <w:pStyle w:val="ListParagraph"/>
              <w:numPr>
                <w:ilvl w:val="0"/>
                <w:numId w:val="19"/>
              </w:numPr>
            </w:pPr>
            <w:r w:rsidRPr="008717EF">
              <w:t xml:space="preserve">Provide telephone access to a live voice (e.g., an employee of the primary care physician or an answering service) or to an answering machine that immediately pages an on-call medical professional 24 hours per day, 7 days per week.  </w:t>
            </w:r>
          </w:p>
          <w:p w14:paraId="086DA547" w14:textId="77777777" w:rsidR="00A25996" w:rsidRPr="008717EF" w:rsidRDefault="00A25996" w:rsidP="00425466">
            <w:pPr>
              <w:pStyle w:val="ListParagraph"/>
              <w:numPr>
                <w:ilvl w:val="1"/>
                <w:numId w:val="19"/>
              </w:numPr>
            </w:pPr>
            <w:r w:rsidRPr="008717EF">
              <w:t xml:space="preserve">When employing an answering machine with recorded instructions for after-hours callers, PCPs should regularly check to ensure that the machine functions correctly and that the instructions are up to date.  </w:t>
            </w:r>
          </w:p>
          <w:p w14:paraId="716A389B" w14:textId="77777777" w:rsidR="00A25996" w:rsidRPr="008717EF" w:rsidRDefault="00A25996" w:rsidP="00425466">
            <w:pPr>
              <w:pStyle w:val="ListParagraph"/>
              <w:numPr>
                <w:ilvl w:val="1"/>
                <w:numId w:val="19"/>
              </w:numPr>
            </w:pPr>
            <w:r w:rsidRPr="008717EF">
              <w:t>The on-call professional must:</w:t>
            </w:r>
          </w:p>
          <w:p w14:paraId="130A8BC5" w14:textId="77777777" w:rsidR="00A25996" w:rsidRPr="008717EF" w:rsidRDefault="00A25996" w:rsidP="00425466">
            <w:pPr>
              <w:pStyle w:val="ListParagraph"/>
              <w:numPr>
                <w:ilvl w:val="2"/>
                <w:numId w:val="19"/>
              </w:numPr>
            </w:pPr>
            <w:r w:rsidRPr="008717EF">
              <w:t xml:space="preserve">Provide information and instructions for treating emergency and non-emergency conditions, </w:t>
            </w:r>
          </w:p>
          <w:p w14:paraId="16A0C8FB" w14:textId="77777777" w:rsidR="00A25996" w:rsidRPr="008717EF" w:rsidRDefault="00A25996" w:rsidP="00425466">
            <w:pPr>
              <w:pStyle w:val="ListParagraph"/>
              <w:numPr>
                <w:ilvl w:val="2"/>
                <w:numId w:val="19"/>
              </w:numPr>
            </w:pPr>
            <w:r w:rsidRPr="008717EF">
              <w:t xml:space="preserve">Make appropriate referrals for non-emergency services, and </w:t>
            </w:r>
          </w:p>
          <w:p w14:paraId="314AF271" w14:textId="77777777" w:rsidR="00A25996" w:rsidRPr="008717EF" w:rsidRDefault="00A25996" w:rsidP="00425466">
            <w:pPr>
              <w:pStyle w:val="ListParagraph"/>
              <w:numPr>
                <w:ilvl w:val="2"/>
                <w:numId w:val="19"/>
              </w:numPr>
            </w:pPr>
            <w:r w:rsidRPr="008717EF">
              <w:t>Provide information regarding accessing other services and handling medical problems during hours the PCP’s office is closed.</w:t>
            </w:r>
          </w:p>
          <w:p w14:paraId="2343A7CD" w14:textId="77777777" w:rsidR="00A25996" w:rsidRPr="008717EF" w:rsidRDefault="00A25996" w:rsidP="00425466">
            <w:pPr>
              <w:pStyle w:val="ListParagraph"/>
              <w:numPr>
                <w:ilvl w:val="0"/>
                <w:numId w:val="19"/>
              </w:numPr>
            </w:pPr>
            <w:r w:rsidRPr="008717EF">
              <w:t>Response to non-emergency after-hours calls must occur within 30 minutes.  A call must be treated as an emergency if made under circumstances where a prudent layperson with an average knowledge of health care would reasonably believe that treatment is immediately necessary to prevent death or serious health impairment.</w:t>
            </w:r>
          </w:p>
          <w:p w14:paraId="758939A3" w14:textId="77777777" w:rsidR="00A25996" w:rsidRPr="008717EF" w:rsidRDefault="00A25996" w:rsidP="00425466">
            <w:pPr>
              <w:pStyle w:val="ListParagraph"/>
              <w:numPr>
                <w:ilvl w:val="1"/>
                <w:numId w:val="19"/>
              </w:numPr>
            </w:pPr>
            <w:r w:rsidRPr="008717EF">
              <w:t>PCPs must make the after-hours telephone number known by all patients; posting the after-hours number on all public entries to each site; and including the after-hours number on answering machine greetings.</w:t>
            </w:r>
          </w:p>
          <w:p w14:paraId="2C751E13" w14:textId="6B3B7F60" w:rsidR="00A25996" w:rsidRPr="008717EF" w:rsidRDefault="00A25996" w:rsidP="00425466">
            <w:pPr>
              <w:pStyle w:val="ListParagraph"/>
              <w:numPr>
                <w:ilvl w:val="0"/>
                <w:numId w:val="19"/>
              </w:numPr>
            </w:pPr>
            <w:r w:rsidRPr="008717EF">
              <w:t xml:space="preserve">Practices are to document completion of this activity via the </w:t>
            </w:r>
            <w:r w:rsidR="00603B0A" w:rsidRPr="008717EF">
              <w:t xml:space="preserve">QCI </w:t>
            </w:r>
            <w:r w:rsidRPr="008717EF">
              <w:t>provider portal, and attest that the described activity has been completed and that proper evidence of such can be provided upon request.</w:t>
            </w:r>
          </w:p>
        </w:tc>
      </w:tr>
    </w:tbl>
    <w:p w14:paraId="0119741A" w14:textId="77777777" w:rsidR="00A25996" w:rsidRPr="008717EF" w:rsidRDefault="00A25996" w:rsidP="003225AE">
      <w:pPr>
        <w:spacing w:line="360" w:lineRule="auto"/>
      </w:pPr>
    </w:p>
    <w:p w14:paraId="28F7B8AB" w14:textId="739FFC93" w:rsidR="00A25996" w:rsidRPr="008717EF" w:rsidRDefault="00A25996" w:rsidP="003225AE">
      <w:pPr>
        <w:pStyle w:val="Heading3"/>
        <w:numPr>
          <w:ilvl w:val="0"/>
          <w:numId w:val="0"/>
        </w:numPr>
        <w:spacing w:before="120" w:line="360" w:lineRule="auto"/>
        <w:ind w:left="720" w:hanging="720"/>
      </w:pPr>
      <w:bookmarkStart w:id="63" w:name="_Toc113888468"/>
      <w:r w:rsidRPr="008717EF">
        <w:t xml:space="preserve">Activity </w:t>
      </w:r>
      <w:r w:rsidR="00E55FB7" w:rsidRPr="008717EF">
        <w:t>C</w:t>
      </w:r>
      <w:r w:rsidRPr="008717EF">
        <w:t>: Capacity to receive direct e-messaging from patients</w:t>
      </w:r>
      <w:bookmarkEnd w:id="63"/>
    </w:p>
    <w:tbl>
      <w:tblPr>
        <w:tblStyle w:val="TableGrid"/>
        <w:tblW w:w="5000" w:type="pct"/>
        <w:tblLook w:val="04A0" w:firstRow="1" w:lastRow="0" w:firstColumn="1" w:lastColumn="0" w:noHBand="0" w:noVBand="1"/>
      </w:tblPr>
      <w:tblGrid>
        <w:gridCol w:w="12950"/>
      </w:tblGrid>
      <w:tr w:rsidR="00A25996" w:rsidRPr="008717EF" w14:paraId="7FE9E508" w14:textId="77777777" w:rsidTr="00BB1ECF">
        <w:trPr>
          <w:cantSplit/>
          <w:tblHeader/>
        </w:trPr>
        <w:tc>
          <w:tcPr>
            <w:tcW w:w="5000" w:type="pct"/>
            <w:shd w:val="clear" w:color="auto" w:fill="002060"/>
            <w:vAlign w:val="center"/>
          </w:tcPr>
          <w:p w14:paraId="42743A35" w14:textId="2D0BAD15" w:rsidR="00A25996" w:rsidRPr="008717EF" w:rsidRDefault="00A25996" w:rsidP="003225AE">
            <w:pPr>
              <w:pStyle w:val="TableHeading"/>
              <w:spacing w:before="120" w:after="120" w:line="360" w:lineRule="auto"/>
            </w:pPr>
            <w:r w:rsidRPr="008717EF">
              <w:t xml:space="preserve">Activity </w:t>
            </w:r>
            <w:r w:rsidR="00296F01">
              <w:t>C</w:t>
            </w:r>
            <w:r w:rsidRPr="008717EF">
              <w:t xml:space="preserve"> Deadline: 6/30/</w:t>
            </w:r>
            <w:r w:rsidR="007C29FA" w:rsidRPr="008717EF">
              <w:t>202</w:t>
            </w:r>
            <w:r w:rsidR="007C29FA">
              <w:t>3</w:t>
            </w:r>
          </w:p>
        </w:tc>
      </w:tr>
      <w:tr w:rsidR="00A25996" w:rsidRPr="008717EF" w14:paraId="3A484EA8" w14:textId="77777777" w:rsidTr="00BB1ECF">
        <w:tc>
          <w:tcPr>
            <w:tcW w:w="5000" w:type="pct"/>
          </w:tcPr>
          <w:p w14:paraId="4B0465AF" w14:textId="77777777" w:rsidR="00A25996" w:rsidRPr="008717EF" w:rsidRDefault="00A25996" w:rsidP="00425466">
            <w:pPr>
              <w:pStyle w:val="ListParagraph"/>
              <w:numPr>
                <w:ilvl w:val="0"/>
                <w:numId w:val="28"/>
              </w:numPr>
            </w:pPr>
            <w:r w:rsidRPr="008717EF">
              <w:t>Indicate if the practice has the capacity to use electronic messaging to communicate with patients.</w:t>
            </w:r>
          </w:p>
          <w:p w14:paraId="02BDB522" w14:textId="1A9D5823" w:rsidR="00A25996" w:rsidRPr="008717EF" w:rsidRDefault="00A25996" w:rsidP="00425466">
            <w:pPr>
              <w:pStyle w:val="ListParagraph"/>
              <w:numPr>
                <w:ilvl w:val="1"/>
                <w:numId w:val="28"/>
              </w:numPr>
            </w:pPr>
            <w:r w:rsidRPr="008717EF">
              <w:t>Indicate if the practice currently uses e-messaging</w:t>
            </w:r>
            <w:r w:rsidR="00954EDC" w:rsidRPr="008717EF">
              <w:t xml:space="preserve"> and </w:t>
            </w:r>
            <w:r w:rsidRPr="008717EF">
              <w:t>describe the method used.</w:t>
            </w:r>
          </w:p>
          <w:p w14:paraId="42DA8290" w14:textId="77777777" w:rsidR="00A25996" w:rsidRPr="008717EF" w:rsidRDefault="00A25996" w:rsidP="00425466">
            <w:pPr>
              <w:pStyle w:val="ListParagraph"/>
              <w:numPr>
                <w:ilvl w:val="1"/>
                <w:numId w:val="28"/>
              </w:numPr>
            </w:pPr>
            <w:r w:rsidRPr="008717EF">
              <w:lastRenderedPageBreak/>
              <w:t>Indicate if the messaging system is secure.</w:t>
            </w:r>
          </w:p>
          <w:p w14:paraId="53CFA468" w14:textId="77777777" w:rsidR="00A25996" w:rsidRPr="008717EF" w:rsidRDefault="00A25996" w:rsidP="00425466">
            <w:pPr>
              <w:pStyle w:val="ListParagraph"/>
              <w:numPr>
                <w:ilvl w:val="1"/>
                <w:numId w:val="28"/>
              </w:numPr>
            </w:pPr>
            <w:r w:rsidRPr="008717EF">
              <w:t>Indicate if the messaging system meets HIPAA guidelines.</w:t>
            </w:r>
          </w:p>
          <w:p w14:paraId="5FE30F4F" w14:textId="116F9359" w:rsidR="00A25996" w:rsidRPr="008717EF" w:rsidRDefault="00A25996" w:rsidP="00425466">
            <w:pPr>
              <w:pStyle w:val="ListParagraph"/>
              <w:numPr>
                <w:ilvl w:val="0"/>
                <w:numId w:val="28"/>
              </w:numPr>
            </w:pPr>
            <w:r w:rsidRPr="008717EF">
              <w:t>If the practice do</w:t>
            </w:r>
            <w:r w:rsidR="00B706A9" w:rsidRPr="008717EF">
              <w:t>es</w:t>
            </w:r>
            <w:r w:rsidRPr="008717EF">
              <w:t xml:space="preserve"> not use e-messaging, indicate if a plan has been developed to implement the use of e-messaging.</w:t>
            </w:r>
          </w:p>
          <w:p w14:paraId="24CF2843" w14:textId="38198993" w:rsidR="00A25996" w:rsidRPr="008717EF" w:rsidRDefault="00A25996" w:rsidP="00425466">
            <w:pPr>
              <w:pStyle w:val="ListParagraph"/>
              <w:numPr>
                <w:ilvl w:val="0"/>
                <w:numId w:val="28"/>
              </w:numPr>
            </w:pPr>
            <w:r w:rsidRPr="008717EF">
              <w:t xml:space="preserve">Practices are to document completion of this activity via the </w:t>
            </w:r>
            <w:r w:rsidR="001A4E18" w:rsidRPr="008717EF">
              <w:t xml:space="preserve">QCI </w:t>
            </w:r>
            <w:r w:rsidRPr="008717EF">
              <w:t>provider portal and attest that the described activity has been completed and that proper evidence of such can be provided upon request.</w:t>
            </w:r>
          </w:p>
        </w:tc>
      </w:tr>
    </w:tbl>
    <w:p w14:paraId="74827A11" w14:textId="5FF3DA68" w:rsidR="00A25996" w:rsidRPr="008717EF" w:rsidRDefault="00A25996" w:rsidP="003225AE">
      <w:pPr>
        <w:spacing w:line="360" w:lineRule="auto"/>
      </w:pPr>
    </w:p>
    <w:p w14:paraId="4C91D89C" w14:textId="3FC0D184" w:rsidR="00A25996" w:rsidRPr="008717EF" w:rsidRDefault="00A25996" w:rsidP="003225AE">
      <w:pPr>
        <w:pStyle w:val="Heading3"/>
        <w:numPr>
          <w:ilvl w:val="0"/>
          <w:numId w:val="0"/>
        </w:numPr>
        <w:spacing w:before="120" w:line="360" w:lineRule="auto"/>
        <w:ind w:left="720" w:hanging="720"/>
      </w:pPr>
      <w:bookmarkStart w:id="64" w:name="_Toc113888469"/>
      <w:r w:rsidRPr="008717EF">
        <w:t xml:space="preserve">Activity </w:t>
      </w:r>
      <w:r w:rsidR="009A7D52" w:rsidRPr="008717EF">
        <w:t>D</w:t>
      </w:r>
      <w:r w:rsidRPr="008717EF">
        <w:t>: Childhood/Adult Vaccination Practice Strategy</w:t>
      </w:r>
      <w:bookmarkEnd w:id="64"/>
    </w:p>
    <w:tbl>
      <w:tblPr>
        <w:tblStyle w:val="TableGrid"/>
        <w:tblW w:w="5000" w:type="pct"/>
        <w:tblLook w:val="04A0" w:firstRow="1" w:lastRow="0" w:firstColumn="1" w:lastColumn="0" w:noHBand="0" w:noVBand="1"/>
      </w:tblPr>
      <w:tblGrid>
        <w:gridCol w:w="12950"/>
      </w:tblGrid>
      <w:tr w:rsidR="00A25996" w:rsidRPr="008717EF" w14:paraId="4D30429F" w14:textId="77777777" w:rsidTr="00BB1ECF">
        <w:trPr>
          <w:cantSplit/>
          <w:tblHeader/>
        </w:trPr>
        <w:tc>
          <w:tcPr>
            <w:tcW w:w="5000" w:type="pct"/>
            <w:shd w:val="clear" w:color="auto" w:fill="002060"/>
            <w:vAlign w:val="center"/>
          </w:tcPr>
          <w:p w14:paraId="122FC1F3" w14:textId="33FBCBF5" w:rsidR="00A25996" w:rsidRPr="008717EF" w:rsidRDefault="00A25996" w:rsidP="003225AE">
            <w:pPr>
              <w:pStyle w:val="TableHeading"/>
              <w:spacing w:before="120" w:after="120" w:line="360" w:lineRule="auto"/>
            </w:pPr>
            <w:r w:rsidRPr="008717EF">
              <w:t xml:space="preserve">Activity </w:t>
            </w:r>
            <w:r w:rsidR="00AC7FD1" w:rsidRPr="008717EF">
              <w:t xml:space="preserve">D </w:t>
            </w:r>
            <w:r w:rsidRPr="008717EF">
              <w:t>Deadline: 6/30/</w:t>
            </w:r>
            <w:r w:rsidR="007C29FA" w:rsidRPr="008717EF">
              <w:t>202</w:t>
            </w:r>
            <w:r w:rsidR="007C29FA">
              <w:t>3</w:t>
            </w:r>
          </w:p>
        </w:tc>
      </w:tr>
      <w:tr w:rsidR="00A25996" w:rsidRPr="008717EF" w14:paraId="330D6550" w14:textId="77777777" w:rsidTr="00BB1ECF">
        <w:tc>
          <w:tcPr>
            <w:tcW w:w="5000" w:type="pct"/>
          </w:tcPr>
          <w:p w14:paraId="4F78A235" w14:textId="77777777" w:rsidR="00A25996" w:rsidRPr="008717EF" w:rsidRDefault="00A25996" w:rsidP="00296F01">
            <w:pPr>
              <w:pStyle w:val="ListParagraph"/>
              <w:numPr>
                <w:ilvl w:val="0"/>
                <w:numId w:val="29"/>
              </w:numPr>
            </w:pPr>
            <w:r w:rsidRPr="008717EF">
              <w:t xml:space="preserve">Indicate and describe the practice’s implemented process to deliver immunization to both the pediatric and adult population leading into administration of immunization for the upcoming year. </w:t>
            </w:r>
          </w:p>
          <w:p w14:paraId="61F399ED" w14:textId="77777777" w:rsidR="00A25996" w:rsidRPr="008717EF" w:rsidRDefault="00A25996" w:rsidP="00296F01">
            <w:pPr>
              <w:pStyle w:val="ListParagraph"/>
              <w:numPr>
                <w:ilvl w:val="0"/>
                <w:numId w:val="29"/>
              </w:numPr>
            </w:pPr>
            <w:r w:rsidRPr="008717EF">
              <w:t>Indicate if there is an implemented process to identify vaccination gaps in care for both the pediatric and adult population.</w:t>
            </w:r>
          </w:p>
          <w:p w14:paraId="59650EA9" w14:textId="77777777" w:rsidR="00A25996" w:rsidRPr="008717EF" w:rsidRDefault="00A25996" w:rsidP="00296F01">
            <w:pPr>
              <w:pStyle w:val="ListParagraph"/>
              <w:numPr>
                <w:ilvl w:val="0"/>
                <w:numId w:val="29"/>
              </w:numPr>
            </w:pPr>
            <w:r w:rsidRPr="008717EF">
              <w:t>Indicate the ability to document historic immunization data into an EHR and review on each visit.</w:t>
            </w:r>
          </w:p>
          <w:p w14:paraId="14F04303" w14:textId="77777777" w:rsidR="00A25996" w:rsidRPr="008717EF" w:rsidRDefault="00A25996" w:rsidP="00296F01">
            <w:pPr>
              <w:pStyle w:val="ListParagraph"/>
              <w:numPr>
                <w:ilvl w:val="0"/>
                <w:numId w:val="29"/>
              </w:numPr>
            </w:pPr>
            <w:r w:rsidRPr="008717EF">
              <w:t>Indicate the capability to submit data electronically to immunization registries or immunization information systems.</w:t>
            </w:r>
          </w:p>
          <w:p w14:paraId="604786DB" w14:textId="091CC46B" w:rsidR="00A25996" w:rsidRPr="008717EF" w:rsidRDefault="00A25996" w:rsidP="00296F01">
            <w:pPr>
              <w:pStyle w:val="ListParagraph"/>
              <w:numPr>
                <w:ilvl w:val="0"/>
                <w:numId w:val="29"/>
              </w:numPr>
            </w:pPr>
            <w:r w:rsidRPr="008717EF">
              <w:t xml:space="preserve">Practices are to document completion of this activity via the </w:t>
            </w:r>
            <w:r w:rsidR="001A4E18" w:rsidRPr="008717EF">
              <w:t xml:space="preserve">QCI </w:t>
            </w:r>
            <w:r w:rsidRPr="008717EF">
              <w:t>provider portal and attest that the described activity has been completed and that proper evidence of such can be provided upon request.</w:t>
            </w:r>
          </w:p>
        </w:tc>
      </w:tr>
    </w:tbl>
    <w:p w14:paraId="23F47B2A" w14:textId="77777777" w:rsidR="00A25996" w:rsidRPr="008717EF" w:rsidRDefault="00A25996" w:rsidP="003225AE">
      <w:pPr>
        <w:spacing w:line="360" w:lineRule="auto"/>
      </w:pPr>
    </w:p>
    <w:p w14:paraId="7525D093" w14:textId="0AE6F6AD" w:rsidR="00A25996" w:rsidRPr="008717EF" w:rsidRDefault="00A25996" w:rsidP="003225AE">
      <w:pPr>
        <w:pStyle w:val="Heading3"/>
        <w:numPr>
          <w:ilvl w:val="0"/>
          <w:numId w:val="0"/>
        </w:numPr>
        <w:spacing w:before="120" w:line="360" w:lineRule="auto"/>
        <w:ind w:left="1350" w:hanging="1350"/>
      </w:pPr>
      <w:bookmarkStart w:id="65" w:name="_Toc113888470"/>
      <w:r w:rsidRPr="008717EF">
        <w:lastRenderedPageBreak/>
        <w:t xml:space="preserve">Activity </w:t>
      </w:r>
      <w:r w:rsidR="00204A14" w:rsidRPr="008717EF">
        <w:t>E</w:t>
      </w:r>
      <w:r w:rsidRPr="008717EF">
        <w:t>: Join SHARE or participate in a network that delivers hospital discharge information to practice within 48 hours</w:t>
      </w:r>
      <w:bookmarkEnd w:id="65"/>
    </w:p>
    <w:tbl>
      <w:tblPr>
        <w:tblStyle w:val="TableGrid"/>
        <w:tblW w:w="5000" w:type="pct"/>
        <w:tblLook w:val="04A0" w:firstRow="1" w:lastRow="0" w:firstColumn="1" w:lastColumn="0" w:noHBand="0" w:noVBand="1"/>
      </w:tblPr>
      <w:tblGrid>
        <w:gridCol w:w="12950"/>
      </w:tblGrid>
      <w:tr w:rsidR="00A25996" w:rsidRPr="008717EF" w14:paraId="3AD818B8" w14:textId="77777777" w:rsidTr="00BB1ECF">
        <w:trPr>
          <w:cantSplit/>
          <w:tblHeader/>
        </w:trPr>
        <w:tc>
          <w:tcPr>
            <w:tcW w:w="5000" w:type="pct"/>
            <w:shd w:val="clear" w:color="auto" w:fill="002060"/>
            <w:vAlign w:val="center"/>
          </w:tcPr>
          <w:p w14:paraId="46BF7AD5" w14:textId="5DCC465D" w:rsidR="00A25996" w:rsidRPr="008717EF" w:rsidRDefault="00A25996" w:rsidP="003225AE">
            <w:pPr>
              <w:pStyle w:val="TableHeading"/>
              <w:spacing w:before="120" w:after="120" w:line="360" w:lineRule="auto"/>
            </w:pPr>
            <w:r w:rsidRPr="008717EF">
              <w:t xml:space="preserve">Activity </w:t>
            </w:r>
            <w:r w:rsidR="00204A14" w:rsidRPr="008717EF">
              <w:t xml:space="preserve">E </w:t>
            </w:r>
            <w:r w:rsidRPr="008717EF">
              <w:t>Deadline: 6/30/</w:t>
            </w:r>
            <w:r w:rsidR="007C29FA" w:rsidRPr="008717EF">
              <w:t>202</w:t>
            </w:r>
            <w:r w:rsidR="007C29FA">
              <w:t>3</w:t>
            </w:r>
          </w:p>
        </w:tc>
      </w:tr>
      <w:tr w:rsidR="00A25996" w:rsidRPr="008717EF" w14:paraId="4B81CFCE" w14:textId="77777777" w:rsidTr="00BB1ECF">
        <w:tc>
          <w:tcPr>
            <w:tcW w:w="5000" w:type="pct"/>
          </w:tcPr>
          <w:p w14:paraId="0F390E6F" w14:textId="77777777" w:rsidR="00A25996" w:rsidRPr="008717EF" w:rsidRDefault="00A25996" w:rsidP="00425466">
            <w:pPr>
              <w:pStyle w:val="ListParagraph"/>
              <w:numPr>
                <w:ilvl w:val="0"/>
                <w:numId w:val="11"/>
              </w:numPr>
            </w:pPr>
            <w:r w:rsidRPr="008717EF">
              <w:t>Indicate if the practice has joined SHARE.</w:t>
            </w:r>
          </w:p>
          <w:p w14:paraId="1AEB65A9" w14:textId="77777777" w:rsidR="00A25996" w:rsidRPr="008717EF" w:rsidRDefault="00A25996" w:rsidP="00425466">
            <w:pPr>
              <w:pStyle w:val="ListParagraph"/>
              <w:numPr>
                <w:ilvl w:val="1"/>
                <w:numId w:val="11"/>
              </w:numPr>
            </w:pPr>
            <w:r w:rsidRPr="008717EF">
              <w:t>Indicate the ability to access inpatient discharge information via SHARE.</w:t>
            </w:r>
          </w:p>
          <w:p w14:paraId="53A7B3C0" w14:textId="77777777" w:rsidR="00A25996" w:rsidRPr="008717EF" w:rsidRDefault="00A25996" w:rsidP="00425466">
            <w:pPr>
              <w:pStyle w:val="ListParagraph"/>
              <w:numPr>
                <w:ilvl w:val="1"/>
                <w:numId w:val="11"/>
              </w:numPr>
            </w:pPr>
            <w:r w:rsidRPr="008717EF">
              <w:t>Indicate the ability to access patient transfer information via SHARE.</w:t>
            </w:r>
          </w:p>
          <w:p w14:paraId="63A79ECB" w14:textId="77777777" w:rsidR="00A25996" w:rsidRPr="008717EF" w:rsidRDefault="00A25996" w:rsidP="00425466">
            <w:pPr>
              <w:pStyle w:val="ListParagraph"/>
              <w:numPr>
                <w:ilvl w:val="0"/>
                <w:numId w:val="11"/>
              </w:numPr>
            </w:pPr>
            <w:r w:rsidRPr="008717EF">
              <w:t xml:space="preserve">If the practice has not joined SHARE, indicate if the practice participates in a network that delivers hospital discharge information to the practices within 48 hours of discharge. </w:t>
            </w:r>
          </w:p>
          <w:p w14:paraId="3083CDFA" w14:textId="074B6EE5" w:rsidR="00A25996" w:rsidRPr="008717EF" w:rsidRDefault="00A25996" w:rsidP="00425466">
            <w:pPr>
              <w:pStyle w:val="ListParagraph"/>
              <w:numPr>
                <w:ilvl w:val="0"/>
                <w:numId w:val="11"/>
              </w:numPr>
            </w:pPr>
            <w:r w:rsidRPr="008717EF">
              <w:t xml:space="preserve">Practices are to document completion of this activity via the </w:t>
            </w:r>
            <w:r w:rsidR="00204A14" w:rsidRPr="008717EF">
              <w:t xml:space="preserve">QCI </w:t>
            </w:r>
            <w:r w:rsidRPr="008717EF">
              <w:t>provider portal and attest that the described activity has been completed and that proper evidence of such can be provided upon request.</w:t>
            </w:r>
          </w:p>
        </w:tc>
      </w:tr>
    </w:tbl>
    <w:p w14:paraId="19A71F73" w14:textId="77777777" w:rsidR="00204A14" w:rsidRPr="008717EF" w:rsidRDefault="00204A14" w:rsidP="0030652B">
      <w:pPr>
        <w:spacing w:line="360" w:lineRule="auto"/>
      </w:pPr>
    </w:p>
    <w:p w14:paraId="5F770358" w14:textId="1E8E6243" w:rsidR="00204A14" w:rsidRPr="008717EF" w:rsidRDefault="00204A14" w:rsidP="00204A14">
      <w:pPr>
        <w:pStyle w:val="Heading3"/>
        <w:numPr>
          <w:ilvl w:val="0"/>
          <w:numId w:val="0"/>
        </w:numPr>
        <w:spacing w:before="120" w:line="360" w:lineRule="auto"/>
        <w:ind w:left="720" w:hanging="720"/>
      </w:pPr>
      <w:bookmarkStart w:id="66" w:name="_Toc113888471"/>
      <w:r w:rsidRPr="008717EF">
        <w:lastRenderedPageBreak/>
        <w:t>Activity F: Track third next available appointment</w:t>
      </w:r>
      <w:bookmarkEnd w:id="66"/>
    </w:p>
    <w:tbl>
      <w:tblPr>
        <w:tblStyle w:val="TableGrid"/>
        <w:tblW w:w="5000" w:type="pct"/>
        <w:tblLook w:val="04A0" w:firstRow="1" w:lastRow="0" w:firstColumn="1" w:lastColumn="0" w:noHBand="0" w:noVBand="1"/>
      </w:tblPr>
      <w:tblGrid>
        <w:gridCol w:w="12950"/>
      </w:tblGrid>
      <w:tr w:rsidR="00204A14" w:rsidRPr="008717EF" w14:paraId="62B5F34E" w14:textId="77777777" w:rsidTr="00654C43">
        <w:trPr>
          <w:cantSplit/>
          <w:tblHeader/>
        </w:trPr>
        <w:tc>
          <w:tcPr>
            <w:tcW w:w="5000" w:type="pct"/>
            <w:shd w:val="clear" w:color="auto" w:fill="002060"/>
            <w:vAlign w:val="center"/>
          </w:tcPr>
          <w:p w14:paraId="73C83569" w14:textId="575C793C" w:rsidR="00204A14" w:rsidRPr="008717EF" w:rsidRDefault="00204A14" w:rsidP="00654C43">
            <w:pPr>
              <w:pStyle w:val="TableHeading"/>
              <w:spacing w:before="120" w:after="120" w:line="360" w:lineRule="auto"/>
            </w:pPr>
            <w:r w:rsidRPr="008717EF">
              <w:t>Activity F Deadline: 12/31/</w:t>
            </w:r>
            <w:r w:rsidR="007C29FA" w:rsidRPr="008717EF">
              <w:t>202</w:t>
            </w:r>
            <w:r w:rsidR="007C29FA">
              <w:t>3</w:t>
            </w:r>
          </w:p>
        </w:tc>
      </w:tr>
    </w:tbl>
    <w:tbl>
      <w:tblPr>
        <w:tblStyle w:val="TableGrid2"/>
        <w:tblW w:w="5000" w:type="pct"/>
        <w:tblLook w:val="04A0" w:firstRow="1" w:lastRow="0" w:firstColumn="1" w:lastColumn="0" w:noHBand="0" w:noVBand="1"/>
      </w:tblPr>
      <w:tblGrid>
        <w:gridCol w:w="12950"/>
      </w:tblGrid>
      <w:tr w:rsidR="00204A14" w:rsidRPr="008717EF" w14:paraId="0E5F6E97" w14:textId="77777777" w:rsidTr="00654C43">
        <w:trPr>
          <w:cantSplit/>
        </w:trPr>
        <w:tc>
          <w:tcPr>
            <w:tcW w:w="5000" w:type="pct"/>
          </w:tcPr>
          <w:p w14:paraId="7943E268" w14:textId="77777777" w:rsidR="00204A14" w:rsidRPr="008717EF" w:rsidRDefault="00204A14" w:rsidP="00425466">
            <w:pPr>
              <w:pStyle w:val="ListParagraph"/>
              <w:numPr>
                <w:ilvl w:val="0"/>
                <w:numId w:val="10"/>
              </w:numPr>
            </w:pPr>
            <w:r w:rsidRPr="008717EF">
              <w:t>Perform this activity by:</w:t>
            </w:r>
          </w:p>
          <w:p w14:paraId="3C519F46" w14:textId="073DA9E1" w:rsidR="00204A14" w:rsidRPr="008717EF" w:rsidRDefault="00204A14" w:rsidP="00425466">
            <w:pPr>
              <w:pStyle w:val="ListParagraph"/>
            </w:pPr>
            <w:r w:rsidRPr="008717EF">
              <w:t xml:space="preserve">Using </w:t>
            </w:r>
            <w:r w:rsidR="006A5137" w:rsidRPr="008717EF">
              <w:t xml:space="preserve">either </w:t>
            </w:r>
            <w:r w:rsidRPr="008717EF">
              <w:t xml:space="preserve">a </w:t>
            </w:r>
            <w:r w:rsidR="006A5137" w:rsidRPr="008717EF">
              <w:t xml:space="preserve">manual or an electronic </w:t>
            </w:r>
            <w:r w:rsidRPr="008717EF">
              <w:t>tool to track the third next available appointment for the following:</w:t>
            </w:r>
          </w:p>
          <w:p w14:paraId="2258250F" w14:textId="77777777" w:rsidR="00204A14" w:rsidRPr="008717EF" w:rsidRDefault="00204A14" w:rsidP="00425466">
            <w:pPr>
              <w:pStyle w:val="ListParagraph"/>
              <w:numPr>
                <w:ilvl w:val="0"/>
                <w:numId w:val="26"/>
              </w:numPr>
            </w:pPr>
            <w:r w:rsidRPr="008717EF">
              <w:t>New patient appointment</w:t>
            </w:r>
          </w:p>
          <w:p w14:paraId="2A92881E" w14:textId="77777777" w:rsidR="00204A14" w:rsidRPr="008717EF" w:rsidRDefault="00204A14" w:rsidP="00425466">
            <w:pPr>
              <w:pStyle w:val="ListParagraph"/>
              <w:numPr>
                <w:ilvl w:val="0"/>
                <w:numId w:val="26"/>
              </w:numPr>
            </w:pPr>
            <w:r w:rsidRPr="008717EF">
              <w:t>Routine exam</w:t>
            </w:r>
          </w:p>
          <w:p w14:paraId="527CAE4E" w14:textId="5D808BE5" w:rsidR="00204A14" w:rsidRPr="008717EF" w:rsidRDefault="00204A14" w:rsidP="00425466">
            <w:pPr>
              <w:pStyle w:val="ListParagraph"/>
              <w:numPr>
                <w:ilvl w:val="0"/>
                <w:numId w:val="26"/>
              </w:numPr>
            </w:pPr>
            <w:r w:rsidRPr="008717EF">
              <w:t>Return visit exam</w:t>
            </w:r>
          </w:p>
          <w:p w14:paraId="7E79AE41" w14:textId="07408041" w:rsidR="00D215F7" w:rsidRPr="008717EF" w:rsidRDefault="00D215F7" w:rsidP="00D215F7">
            <w:pPr>
              <w:ind w:left="1440"/>
            </w:pPr>
            <w:r w:rsidRPr="008717EF">
              <w:t>According to the Institute for Healthcare Improvement (IHI)</w:t>
            </w:r>
            <w:r w:rsidR="00041CC2" w:rsidRPr="008717EF">
              <w:t>,</w:t>
            </w:r>
            <w:r w:rsidRPr="008717EF">
              <w:t xml:space="preserve"> “The data collection can be done manually or electronically. Manual collection means looking in the schedule book and counting from the "index" (day when the "dummy" appointment is requested) to the day of the third available appointment. Some electronic scheduling systems can be programmed to compute the number of days automatically.”</w:t>
            </w:r>
          </w:p>
          <w:p w14:paraId="2783C7C8" w14:textId="606EE43C" w:rsidR="00D215F7" w:rsidRPr="008717EF" w:rsidRDefault="00D215F7" w:rsidP="00EB28EF">
            <w:pPr>
              <w:ind w:left="1440"/>
              <w:rPr>
                <w:rFonts w:cs="Arial"/>
                <w:sz w:val="24"/>
                <w:szCs w:val="24"/>
              </w:rPr>
            </w:pPr>
            <w:r w:rsidRPr="008717EF">
              <w:rPr>
                <w:rFonts w:cs="Arial"/>
              </w:rPr>
              <w:t xml:space="preserve">An example of a tool may be found by clicking on the link: </w:t>
            </w:r>
            <w:hyperlink r:id="rId29" w:history="1">
              <w:r w:rsidRPr="008717EF">
                <w:rPr>
                  <w:rStyle w:val="Hyperlink"/>
                  <w:rFonts w:ascii="Arial" w:hAnsi="Arial" w:cs="Arial"/>
                  <w:sz w:val="20"/>
                </w:rPr>
                <w:t>Third Next Available Appointment: A Reference Guide (h1ccp.com)</w:t>
              </w:r>
            </w:hyperlink>
          </w:p>
          <w:p w14:paraId="417EB3B5" w14:textId="77777777" w:rsidR="001A30FE" w:rsidRPr="008717EF" w:rsidRDefault="001A30FE" w:rsidP="00425466">
            <w:pPr>
              <w:pStyle w:val="ListParagraph"/>
            </w:pPr>
            <w:r w:rsidRPr="008717EF">
              <w:t>Collect data:</w:t>
            </w:r>
          </w:p>
          <w:p w14:paraId="34C0F222" w14:textId="77777777" w:rsidR="001A30FE" w:rsidRPr="008717EF" w:rsidRDefault="001A30FE" w:rsidP="00425466">
            <w:pPr>
              <w:pStyle w:val="ListParagraph"/>
            </w:pPr>
            <w:r w:rsidRPr="008717EF">
              <w:t xml:space="preserve">On the same day of the week, once a week, sample all physicians. </w:t>
            </w:r>
          </w:p>
          <w:p w14:paraId="4E084808" w14:textId="2EB554FD" w:rsidR="00A050F3" w:rsidRPr="008717EF" w:rsidRDefault="001A30FE" w:rsidP="00425466">
            <w:pPr>
              <w:pStyle w:val="ListParagraph"/>
            </w:pPr>
            <w:r w:rsidRPr="008717EF">
              <w:t>“Count the number of days between a request for an appointment (e.g., enter dummy patient) with a physician and the third next available appointment for a new patient physical, routine exam, or return visit exam. Count calendar days (e.g. include weekends) and days off. Do not count any saved appointments for urgent visits (since they are "blocked off" on the schedule.)” (IHI, 2021)</w:t>
            </w:r>
          </w:p>
          <w:p w14:paraId="1437C426" w14:textId="188CE8CD" w:rsidR="00204A14" w:rsidRPr="008717EF" w:rsidRDefault="00204A14" w:rsidP="00425466">
            <w:pPr>
              <w:pStyle w:val="ListParagraph"/>
            </w:pPr>
            <w:r w:rsidRPr="008717EF">
              <w:t>Record fulfillment of the third next available appointment</w:t>
            </w:r>
            <w:r w:rsidR="00F93801" w:rsidRPr="008717EF">
              <w:t xml:space="preserve"> for physicians sampled</w:t>
            </w:r>
            <w:r w:rsidRPr="008717EF">
              <w:t>.</w:t>
            </w:r>
          </w:p>
          <w:p w14:paraId="3A6CA92A" w14:textId="77777777" w:rsidR="00204A14" w:rsidRPr="008717EF" w:rsidRDefault="00204A14" w:rsidP="00425466">
            <w:pPr>
              <w:pStyle w:val="ListParagraph"/>
            </w:pPr>
            <w:r w:rsidRPr="008717EF">
              <w:t xml:space="preserve">Report the average number of days for physicians sampled. </w:t>
            </w:r>
          </w:p>
          <w:p w14:paraId="4396E511" w14:textId="262CC1B9" w:rsidR="00204A14" w:rsidRPr="008717EF" w:rsidRDefault="00204A14" w:rsidP="00EB28EF">
            <w:r w:rsidRPr="008717EF">
              <w:t>Practices are to document completion of this activity via the QCI provider portal and attest that the described activity has been completed and that proper evidence of such can be provided upon request.</w:t>
            </w:r>
          </w:p>
          <w:p w14:paraId="0EDEA4A8" w14:textId="739B265B" w:rsidR="00204A14" w:rsidRPr="008717EF" w:rsidRDefault="005E50C1" w:rsidP="005E50C1">
            <w:r w:rsidRPr="008717EF">
              <w:rPr>
                <w:rFonts w:cs="Arial"/>
              </w:rPr>
              <w:t xml:space="preserve">Institute for Healthcare Improvement (IHI), (2021), </w:t>
            </w:r>
            <w:r w:rsidRPr="008717EF">
              <w:rPr>
                <w:rFonts w:cs="Arial"/>
                <w:i/>
                <w:iCs/>
              </w:rPr>
              <w:t xml:space="preserve">Third Next Available Appointment. </w:t>
            </w:r>
            <w:r w:rsidRPr="008717EF">
              <w:rPr>
                <w:rFonts w:cs="Arial"/>
              </w:rPr>
              <w:t xml:space="preserve">Retrieved from </w:t>
            </w:r>
            <w:hyperlink r:id="rId30" w:history="1">
              <w:r w:rsidRPr="008717EF">
                <w:rPr>
                  <w:rStyle w:val="Hyperlink"/>
                  <w:rFonts w:ascii="Arial" w:hAnsi="Arial" w:cs="Arial"/>
                  <w:sz w:val="20"/>
                </w:rPr>
                <w:t>http://www.ihi.org/resources/Pages/Measures/ThirdNextAvailableAppointment.aspx</w:t>
              </w:r>
            </w:hyperlink>
          </w:p>
        </w:tc>
      </w:tr>
    </w:tbl>
    <w:p w14:paraId="7E225B1D" w14:textId="77777777" w:rsidR="00204A14" w:rsidRPr="008717EF" w:rsidRDefault="00204A14" w:rsidP="00204A14">
      <w:pPr>
        <w:spacing w:line="360" w:lineRule="auto"/>
      </w:pPr>
    </w:p>
    <w:p w14:paraId="1C7763A4" w14:textId="010F3168" w:rsidR="00A25996" w:rsidRPr="008717EF" w:rsidRDefault="00A25996" w:rsidP="003225AE">
      <w:pPr>
        <w:pStyle w:val="Heading3"/>
        <w:numPr>
          <w:ilvl w:val="0"/>
          <w:numId w:val="0"/>
        </w:numPr>
        <w:spacing w:before="120" w:line="360" w:lineRule="auto"/>
        <w:ind w:left="1350" w:hanging="1350"/>
      </w:pPr>
      <w:bookmarkStart w:id="67" w:name="_Toc113888472"/>
      <w:r w:rsidRPr="008717EF">
        <w:lastRenderedPageBreak/>
        <w:t xml:space="preserve">Activity </w:t>
      </w:r>
      <w:r w:rsidR="00F12659" w:rsidRPr="008717EF">
        <w:t>G</w:t>
      </w:r>
      <w:r w:rsidRPr="008717EF">
        <w:t>: Care Plans for High Priority Patients</w:t>
      </w:r>
      <w:bookmarkEnd w:id="67"/>
    </w:p>
    <w:tbl>
      <w:tblPr>
        <w:tblStyle w:val="TableGrid"/>
        <w:tblW w:w="5000" w:type="pct"/>
        <w:tblLook w:val="04A0" w:firstRow="1" w:lastRow="0" w:firstColumn="1" w:lastColumn="0" w:noHBand="0" w:noVBand="1"/>
      </w:tblPr>
      <w:tblGrid>
        <w:gridCol w:w="12950"/>
      </w:tblGrid>
      <w:tr w:rsidR="00A25996" w:rsidRPr="008717EF" w14:paraId="5F8F1BDD" w14:textId="77777777" w:rsidTr="00BB1ECF">
        <w:trPr>
          <w:tblHeader/>
        </w:trPr>
        <w:tc>
          <w:tcPr>
            <w:tcW w:w="5000" w:type="pct"/>
            <w:shd w:val="clear" w:color="auto" w:fill="002060"/>
            <w:vAlign w:val="center"/>
          </w:tcPr>
          <w:p w14:paraId="2B365CB3" w14:textId="11A3D06C" w:rsidR="00A25996" w:rsidRPr="008717EF" w:rsidRDefault="00A25996" w:rsidP="003225AE">
            <w:pPr>
              <w:pStyle w:val="TableHeading"/>
              <w:spacing w:before="120" w:after="120" w:line="360" w:lineRule="auto"/>
            </w:pPr>
            <w:r w:rsidRPr="008717EF">
              <w:t xml:space="preserve">Activity </w:t>
            </w:r>
            <w:r w:rsidR="00F12659" w:rsidRPr="008717EF">
              <w:t xml:space="preserve">G </w:t>
            </w:r>
            <w:r w:rsidRPr="008717EF">
              <w:t>Deadline: 12/31/</w:t>
            </w:r>
            <w:r w:rsidR="007C29FA" w:rsidRPr="008717EF">
              <w:t>202</w:t>
            </w:r>
            <w:r w:rsidR="007C29FA">
              <w:t>3</w:t>
            </w:r>
          </w:p>
        </w:tc>
      </w:tr>
      <w:tr w:rsidR="00A25996" w:rsidRPr="008717EF" w14:paraId="5751CD49" w14:textId="77777777" w:rsidTr="00BB1ECF">
        <w:tc>
          <w:tcPr>
            <w:tcW w:w="5000" w:type="pct"/>
          </w:tcPr>
          <w:p w14:paraId="102CC927" w14:textId="07424278" w:rsidR="00A25996" w:rsidRPr="008717EF" w:rsidRDefault="00A25996" w:rsidP="00425466">
            <w:pPr>
              <w:pStyle w:val="ListParagraph"/>
              <w:numPr>
                <w:ilvl w:val="0"/>
                <w:numId w:val="29"/>
              </w:numPr>
            </w:pPr>
            <w:r w:rsidRPr="008717EF">
              <w:t xml:space="preserve">At least 80% of high-priority patients </w:t>
            </w:r>
            <w:r w:rsidR="00954EDC" w:rsidRPr="008717EF">
              <w:t xml:space="preserve">have </w:t>
            </w:r>
            <w:r w:rsidRPr="008717EF">
              <w:t>care plan</w:t>
            </w:r>
            <w:r w:rsidR="00954EDC" w:rsidRPr="008717EF">
              <w:t>s</w:t>
            </w:r>
            <w:r w:rsidRPr="008717EF">
              <w:t xml:space="preserve"> and/or note</w:t>
            </w:r>
            <w:r w:rsidR="00954EDC" w:rsidRPr="008717EF">
              <w:t>s</w:t>
            </w:r>
            <w:r w:rsidRPr="008717EF">
              <w:t xml:space="preserve"> contained in the medical record </w:t>
            </w:r>
            <w:r w:rsidR="00954EDC" w:rsidRPr="008717EF">
              <w:t xml:space="preserve">that </w:t>
            </w:r>
            <w:r w:rsidRPr="008717EF">
              <w:t>include the following elements:</w:t>
            </w:r>
          </w:p>
          <w:p w14:paraId="212D84CF" w14:textId="77777777" w:rsidR="00A25996" w:rsidRPr="008717EF" w:rsidRDefault="00A25996" w:rsidP="00425466">
            <w:pPr>
              <w:pStyle w:val="ListParagraph"/>
              <w:numPr>
                <w:ilvl w:val="0"/>
                <w:numId w:val="29"/>
              </w:numPr>
            </w:pPr>
            <w:r w:rsidRPr="008717EF">
              <w:t>Documentation of the patient’s appropriate problem list</w:t>
            </w:r>
          </w:p>
          <w:p w14:paraId="6A4CB00B" w14:textId="77777777" w:rsidR="00A25996" w:rsidRPr="008717EF" w:rsidRDefault="00A25996" w:rsidP="00425466">
            <w:pPr>
              <w:pStyle w:val="ListParagraph"/>
              <w:numPr>
                <w:ilvl w:val="0"/>
                <w:numId w:val="29"/>
              </w:numPr>
            </w:pPr>
            <w:r w:rsidRPr="008717EF">
              <w:t>The problem list should include any active, significant clinical condition (chronic and/or acute)</w:t>
            </w:r>
          </w:p>
          <w:p w14:paraId="1B0A94B4" w14:textId="77777777" w:rsidR="00A25996" w:rsidRPr="008717EF" w:rsidRDefault="00A25996" w:rsidP="00425466">
            <w:pPr>
              <w:pStyle w:val="ListParagraph"/>
              <w:numPr>
                <w:ilvl w:val="0"/>
                <w:numId w:val="29"/>
              </w:numPr>
            </w:pPr>
            <w:r w:rsidRPr="008717EF">
              <w:t>Each visit related encounter should include a list of current problems (chronic and/or acute)</w:t>
            </w:r>
          </w:p>
          <w:p w14:paraId="7FF776C8" w14:textId="77777777" w:rsidR="00A25996" w:rsidRPr="008717EF" w:rsidRDefault="00A25996" w:rsidP="00425466">
            <w:pPr>
              <w:pStyle w:val="ListParagraph"/>
              <w:numPr>
                <w:ilvl w:val="0"/>
                <w:numId w:val="29"/>
              </w:numPr>
            </w:pPr>
            <w:r w:rsidRPr="008717EF">
              <w:t>Assessment of progress to date</w:t>
            </w:r>
          </w:p>
          <w:p w14:paraId="5394DC1A" w14:textId="77777777" w:rsidR="00A25996" w:rsidRPr="008717EF" w:rsidRDefault="00A25996" w:rsidP="00425466">
            <w:pPr>
              <w:pStyle w:val="ListParagraph"/>
              <w:numPr>
                <w:ilvl w:val="0"/>
                <w:numId w:val="29"/>
              </w:numPr>
            </w:pPr>
            <w:r w:rsidRPr="008717EF">
              <w:t>Documentation and assessment of each problem (stability or change of condition)</w:t>
            </w:r>
          </w:p>
          <w:p w14:paraId="10CCBE9E" w14:textId="77777777" w:rsidR="00A25996" w:rsidRPr="008717EF" w:rsidRDefault="00A25996" w:rsidP="00425466">
            <w:pPr>
              <w:pStyle w:val="ListParagraph"/>
              <w:numPr>
                <w:ilvl w:val="0"/>
                <w:numId w:val="29"/>
              </w:numPr>
            </w:pPr>
            <w:r w:rsidRPr="008717EF">
              <w:t xml:space="preserve">Each problem noted in the problem list must have an assessment as well as a status of the problem/diagnosis in the plan or in the note. For example, “diabetes well controlled based on HbA1c 6.7 and per patient’s compliance with prescribed medication” is sufficient. </w:t>
            </w:r>
          </w:p>
          <w:p w14:paraId="19B97FD4" w14:textId="77777777" w:rsidR="00A25996" w:rsidRPr="008717EF" w:rsidRDefault="00A25996" w:rsidP="00425466">
            <w:pPr>
              <w:pStyle w:val="ListParagraph"/>
              <w:numPr>
                <w:ilvl w:val="0"/>
                <w:numId w:val="29"/>
              </w:numPr>
            </w:pPr>
            <w:r w:rsidRPr="008717EF">
              <w:t xml:space="preserve">If a problem noted in the problem list is no longer an active problem, a status such as “resolved” should be indicated. </w:t>
            </w:r>
          </w:p>
          <w:p w14:paraId="7C69A5FA" w14:textId="77777777" w:rsidR="00A25996" w:rsidRPr="008717EF" w:rsidRDefault="00A25996" w:rsidP="00425466">
            <w:pPr>
              <w:pStyle w:val="ListParagraph"/>
              <w:numPr>
                <w:ilvl w:val="0"/>
                <w:numId w:val="29"/>
              </w:numPr>
            </w:pPr>
            <w:r w:rsidRPr="008717EF">
              <w:t>If a specialist follows the patient, the most recent findings should be documented, if available.</w:t>
            </w:r>
          </w:p>
          <w:p w14:paraId="7C117056" w14:textId="77777777" w:rsidR="00A25996" w:rsidRPr="008717EF" w:rsidRDefault="00A25996" w:rsidP="00425466">
            <w:pPr>
              <w:pStyle w:val="ListParagraph"/>
              <w:numPr>
                <w:ilvl w:val="0"/>
                <w:numId w:val="29"/>
              </w:numPr>
            </w:pPr>
            <w:r w:rsidRPr="008717EF">
              <w:t>Plan of Care</w:t>
            </w:r>
          </w:p>
          <w:p w14:paraId="440F91A5" w14:textId="77777777" w:rsidR="00A25996" w:rsidRPr="008717EF" w:rsidRDefault="00A25996" w:rsidP="00425466">
            <w:pPr>
              <w:pStyle w:val="ListParagraph"/>
              <w:numPr>
                <w:ilvl w:val="0"/>
                <w:numId w:val="29"/>
              </w:numPr>
            </w:pPr>
            <w:r w:rsidRPr="008717EF">
              <w:t>The documentation should include a specific plan of care related to the problem. For example, “continue Lisinopril 5mg daily”, “ordering labs”, “referral to OT/PT for evaluation and treatment”, “continue therapy sessions”, “prescribed Vyvanse 30 mg daily”, are acceptable.</w:t>
            </w:r>
          </w:p>
          <w:p w14:paraId="24535144" w14:textId="77777777" w:rsidR="00A25996" w:rsidRPr="008717EF" w:rsidRDefault="00A25996" w:rsidP="00425466">
            <w:pPr>
              <w:pStyle w:val="ListParagraph"/>
              <w:numPr>
                <w:ilvl w:val="0"/>
                <w:numId w:val="29"/>
              </w:numPr>
            </w:pPr>
            <w:r w:rsidRPr="008717EF">
              <w:t>Instruction for follow-up</w:t>
            </w:r>
          </w:p>
          <w:p w14:paraId="2B616DE1" w14:textId="35AFFB4A" w:rsidR="00A25996" w:rsidRPr="008717EF" w:rsidRDefault="00A25996" w:rsidP="00425466">
            <w:pPr>
              <w:pStyle w:val="ListParagraph"/>
              <w:numPr>
                <w:ilvl w:val="0"/>
                <w:numId w:val="29"/>
              </w:numPr>
            </w:pPr>
            <w:r w:rsidRPr="008717EF">
              <w:t>The documentation should include the timing of future follow-up visits (related to the problem)</w:t>
            </w:r>
          </w:p>
          <w:p w14:paraId="53C111DA" w14:textId="77777777" w:rsidR="00A25996" w:rsidRPr="008717EF" w:rsidRDefault="00A25996" w:rsidP="00425466">
            <w:pPr>
              <w:pStyle w:val="ListParagraph"/>
              <w:numPr>
                <w:ilvl w:val="0"/>
                <w:numId w:val="29"/>
              </w:numPr>
            </w:pPr>
            <w:r w:rsidRPr="008717EF">
              <w:t>If multiples problems are addressed, a single clearly defined future visit (return to clinic date) is acceptable. For example, “return to office in 6 months” is acceptable; “return if no improvement or as needed” is not acceptable.</w:t>
            </w:r>
          </w:p>
          <w:p w14:paraId="30D6AC1E" w14:textId="77777777" w:rsidR="00A25996" w:rsidRPr="008717EF" w:rsidRDefault="00A25996" w:rsidP="00425466">
            <w:pPr>
              <w:pStyle w:val="ListParagraph"/>
              <w:numPr>
                <w:ilvl w:val="0"/>
                <w:numId w:val="29"/>
              </w:numPr>
            </w:pPr>
            <w:r w:rsidRPr="008717EF">
              <w:t xml:space="preserve">If problems/conditions are followed by a specialist, the timing of the follow up visit with the specialists should be noted. For example, “follow up with endocrinologist in 6 months” is acceptable; “follow up with endocrinologist” is not acceptable. </w:t>
            </w:r>
          </w:p>
          <w:p w14:paraId="3695BF29" w14:textId="77777777" w:rsidR="00A25996" w:rsidRPr="008717EF" w:rsidRDefault="00A25996" w:rsidP="00425466">
            <w:pPr>
              <w:pStyle w:val="ListParagraph"/>
              <w:numPr>
                <w:ilvl w:val="0"/>
                <w:numId w:val="29"/>
              </w:numPr>
            </w:pPr>
            <w:r w:rsidRPr="008717EF">
              <w:t>A minimum of two care plans should be completed within a 12-month period and submitted for validation review.</w:t>
            </w:r>
          </w:p>
          <w:p w14:paraId="29D34D94" w14:textId="77777777" w:rsidR="00A25996" w:rsidRPr="008717EF" w:rsidRDefault="00A25996" w:rsidP="00425466">
            <w:pPr>
              <w:pStyle w:val="ListParagraph"/>
              <w:numPr>
                <w:ilvl w:val="0"/>
                <w:numId w:val="29"/>
              </w:numPr>
            </w:pPr>
            <w:r w:rsidRPr="008717EF">
              <w:t>Documented update to the plan of care which would include active problems</w:t>
            </w:r>
          </w:p>
          <w:p w14:paraId="2A53FDC2" w14:textId="07FDB3D0" w:rsidR="00A25996" w:rsidRPr="008717EF" w:rsidRDefault="00A25996" w:rsidP="00425466">
            <w:pPr>
              <w:pStyle w:val="ListParagraph"/>
              <w:numPr>
                <w:ilvl w:val="0"/>
                <w:numId w:val="29"/>
              </w:numPr>
            </w:pPr>
            <w:r w:rsidRPr="008717EF">
              <w:t>For new patient</w:t>
            </w:r>
            <w:r w:rsidR="00801603" w:rsidRPr="008717EF">
              <w:t>s</w:t>
            </w:r>
            <w:r w:rsidRPr="008717EF">
              <w:t>: initial care plan and one update (in person or phone call)</w:t>
            </w:r>
          </w:p>
          <w:p w14:paraId="733AD0E4" w14:textId="77777777" w:rsidR="00A25996" w:rsidRPr="008717EF" w:rsidRDefault="00A25996" w:rsidP="00425466">
            <w:pPr>
              <w:pStyle w:val="ListParagraph"/>
              <w:numPr>
                <w:ilvl w:val="0"/>
                <w:numId w:val="29"/>
              </w:numPr>
            </w:pPr>
            <w:r w:rsidRPr="008717EF">
              <w:lastRenderedPageBreak/>
              <w:t>For established patients: one care plan update must be completed by a face-to-face visit and one update may be completed via a phone call.</w:t>
            </w:r>
          </w:p>
          <w:p w14:paraId="326CBDBB" w14:textId="77777777" w:rsidR="00A25996" w:rsidRPr="008717EF" w:rsidRDefault="00A25996" w:rsidP="00425466">
            <w:pPr>
              <w:pStyle w:val="ListParagraph"/>
              <w:numPr>
                <w:ilvl w:val="0"/>
                <w:numId w:val="29"/>
              </w:numPr>
            </w:pPr>
            <w:r w:rsidRPr="008717EF">
              <w:t xml:space="preserve">Addendums to the care plans are acceptable if completed within a reasonable period of no more than two weeks after the care plan has been created or updated. </w:t>
            </w:r>
          </w:p>
          <w:p w14:paraId="10B76F00" w14:textId="77777777" w:rsidR="00A25996" w:rsidRPr="008717EF" w:rsidRDefault="00A25996" w:rsidP="00425466">
            <w:pPr>
              <w:pStyle w:val="ListParagraph"/>
              <w:numPr>
                <w:ilvl w:val="0"/>
                <w:numId w:val="29"/>
              </w:numPr>
            </w:pPr>
            <w:r w:rsidRPr="008717EF">
              <w:t xml:space="preserve">Indicate if at least 80% of the top 10% of high-priority patients have a first and second care plan in the medical record. Each attested care plan includes all required elements listed in number 1. </w:t>
            </w:r>
          </w:p>
          <w:p w14:paraId="682A1216" w14:textId="77777777" w:rsidR="00A25996" w:rsidRPr="008717EF" w:rsidRDefault="00A25996" w:rsidP="00425466">
            <w:pPr>
              <w:pStyle w:val="ListParagraph"/>
              <w:numPr>
                <w:ilvl w:val="0"/>
                <w:numId w:val="29"/>
              </w:numPr>
            </w:pPr>
            <w:r w:rsidRPr="008717EF">
              <w:t>For validation audit, 20% of the top 10% of high-priority patients with a first and second care plan, will be randomly selected for review of care plans.  To pass this activity, at least 80% of the care plans must include all the required elements listed in number 1.</w:t>
            </w:r>
          </w:p>
          <w:p w14:paraId="3104D3F3" w14:textId="77777777" w:rsidR="00A25996" w:rsidRPr="008717EF" w:rsidRDefault="00A25996" w:rsidP="00425466">
            <w:pPr>
              <w:pStyle w:val="ListParagraph"/>
              <w:numPr>
                <w:ilvl w:val="0"/>
                <w:numId w:val="29"/>
              </w:numPr>
            </w:pPr>
            <w:r w:rsidRPr="008717EF">
              <w:t xml:space="preserve">PCMHs that successfully pass two consecutive years of care plan validation audits without going into remediation will be eligible for a “Fast Track” audit.  </w:t>
            </w:r>
          </w:p>
          <w:p w14:paraId="2143D1B8" w14:textId="77777777" w:rsidR="00A25996" w:rsidRPr="008717EF" w:rsidRDefault="00A25996" w:rsidP="00425466">
            <w:pPr>
              <w:pStyle w:val="ListParagraph"/>
              <w:numPr>
                <w:ilvl w:val="0"/>
                <w:numId w:val="29"/>
              </w:numPr>
            </w:pPr>
            <w:r w:rsidRPr="008717EF">
              <w:t>The Fast Track audit includes:</w:t>
            </w:r>
          </w:p>
          <w:p w14:paraId="41D13B69" w14:textId="77777777" w:rsidR="00A25996" w:rsidRPr="008717EF" w:rsidRDefault="00A25996" w:rsidP="00425466">
            <w:pPr>
              <w:pStyle w:val="ListParagraph"/>
              <w:numPr>
                <w:ilvl w:val="0"/>
                <w:numId w:val="29"/>
              </w:numPr>
            </w:pPr>
            <w:r w:rsidRPr="008717EF">
              <w:t>Sample audit of five care plans</w:t>
            </w:r>
          </w:p>
          <w:p w14:paraId="12E1147F" w14:textId="77777777" w:rsidR="00A25996" w:rsidRPr="008717EF" w:rsidRDefault="00A25996" w:rsidP="00425466">
            <w:pPr>
              <w:pStyle w:val="ListParagraph"/>
              <w:numPr>
                <w:ilvl w:val="0"/>
                <w:numId w:val="29"/>
              </w:numPr>
            </w:pPr>
            <w:r w:rsidRPr="008717EF">
              <w:t>Sample audits will be conducted at the same time as regular care plan validation audits and for the same performance period</w:t>
            </w:r>
          </w:p>
          <w:p w14:paraId="5FDC0E72" w14:textId="77777777" w:rsidR="00A25996" w:rsidRPr="008717EF" w:rsidRDefault="00A25996" w:rsidP="00425466">
            <w:pPr>
              <w:pStyle w:val="ListParagraph"/>
              <w:numPr>
                <w:ilvl w:val="0"/>
                <w:numId w:val="29"/>
              </w:numPr>
            </w:pPr>
            <w:r w:rsidRPr="008717EF">
              <w:t>The PCMH must successfully pass the audit with at least an 80% total score</w:t>
            </w:r>
          </w:p>
          <w:p w14:paraId="1823221A" w14:textId="77777777" w:rsidR="00A25996" w:rsidRPr="008717EF" w:rsidRDefault="00A25996" w:rsidP="00425466">
            <w:pPr>
              <w:pStyle w:val="ListParagraph"/>
              <w:numPr>
                <w:ilvl w:val="0"/>
                <w:numId w:val="29"/>
              </w:numPr>
            </w:pPr>
            <w:r w:rsidRPr="008717EF">
              <w:t>The scoring methodology will remain the same for the sample audit</w:t>
            </w:r>
          </w:p>
          <w:p w14:paraId="16E00E7F" w14:textId="77777777" w:rsidR="00A25996" w:rsidRPr="008717EF" w:rsidRDefault="00A25996" w:rsidP="00425466">
            <w:pPr>
              <w:pStyle w:val="ListParagraph"/>
              <w:numPr>
                <w:ilvl w:val="0"/>
                <w:numId w:val="29"/>
              </w:numPr>
            </w:pPr>
            <w:r w:rsidRPr="008717EF">
              <w:t>If the practice passes the Fast Track audit, no further care plan audit will be required for the performance period.</w:t>
            </w:r>
          </w:p>
          <w:p w14:paraId="2C98E9D1" w14:textId="23029EF9" w:rsidR="00A25996" w:rsidRPr="008717EF" w:rsidRDefault="00A25996" w:rsidP="00425466">
            <w:pPr>
              <w:pStyle w:val="ListParagraph"/>
              <w:numPr>
                <w:ilvl w:val="0"/>
                <w:numId w:val="29"/>
              </w:numPr>
            </w:pPr>
            <w:r w:rsidRPr="008717EF">
              <w:t>If a practice fails the sample Fast Track audit, care plan validation will revert to the standard audit process</w:t>
            </w:r>
            <w:r w:rsidR="00C2714B">
              <w:rPr>
                <w:color w:val="FF0000"/>
              </w:rPr>
              <w:t>,</w:t>
            </w:r>
            <w:r w:rsidRPr="008717EF">
              <w:t xml:space="preserve"> and the PCMH will be required to submit the full 20% of care plans randomly selected for high-priority patients with a first and second care plan.  </w:t>
            </w:r>
          </w:p>
          <w:p w14:paraId="014EBBF0" w14:textId="37DD5BE5" w:rsidR="00A25996" w:rsidRPr="008717EF" w:rsidRDefault="00A25996" w:rsidP="00425466">
            <w:pPr>
              <w:pStyle w:val="ListParagraph"/>
              <w:numPr>
                <w:ilvl w:val="0"/>
                <w:numId w:val="29"/>
              </w:numPr>
            </w:pPr>
            <w:r w:rsidRPr="008717EF">
              <w:t>If the PCMH passes the secondary audit</w:t>
            </w:r>
            <w:r w:rsidR="00B42F22" w:rsidRPr="008717EF">
              <w:t>,</w:t>
            </w:r>
            <w:r w:rsidRPr="008717EF">
              <w:t xml:space="preserve"> the PCMH will remain in good standing and will be eligible for the Fast Track audit in the upcoming performance period.</w:t>
            </w:r>
          </w:p>
          <w:p w14:paraId="448CA4D4" w14:textId="038D8650" w:rsidR="00A25996" w:rsidRPr="008717EF" w:rsidRDefault="00A25996" w:rsidP="00425466">
            <w:pPr>
              <w:pStyle w:val="ListParagraph"/>
              <w:numPr>
                <w:ilvl w:val="0"/>
                <w:numId w:val="29"/>
              </w:numPr>
            </w:pPr>
            <w:r w:rsidRPr="008717EF">
              <w:t xml:space="preserve">If the PCMH does not meet the 80% target for the secondary audit, the PCMH will be required to follow the remediation process as stated in Section 242.000 of the </w:t>
            </w:r>
            <w:hyperlink r:id="rId31" w:history="1">
              <w:r w:rsidR="00580B49" w:rsidRPr="008717EF">
                <w:rPr>
                  <w:rStyle w:val="Hyperlink"/>
                  <w:rFonts w:ascii="Arial" w:hAnsi="Arial"/>
                  <w:sz w:val="20"/>
                </w:rPr>
                <w:t>PCMH Provider Manual</w:t>
              </w:r>
            </w:hyperlink>
            <w:r w:rsidR="00B962EA" w:rsidRPr="008717EF">
              <w:t xml:space="preserve"> </w:t>
            </w:r>
            <w:r w:rsidRPr="008717EF">
              <w:t>and will not be eligible for the Fast Track audit for the upcoming year.</w:t>
            </w:r>
          </w:p>
          <w:p w14:paraId="629C2D29" w14:textId="77777777" w:rsidR="00A25996" w:rsidRPr="008717EF" w:rsidRDefault="00A25996" w:rsidP="00425466">
            <w:pPr>
              <w:pStyle w:val="ListParagraph"/>
              <w:numPr>
                <w:ilvl w:val="0"/>
                <w:numId w:val="29"/>
              </w:numPr>
            </w:pPr>
            <w:r w:rsidRPr="008717EF">
              <w:t>Scoring methodology:</w:t>
            </w:r>
          </w:p>
          <w:p w14:paraId="11398659" w14:textId="3A773BE7" w:rsidR="00A25996" w:rsidRPr="008717EF" w:rsidRDefault="00A25996" w:rsidP="00425466">
            <w:pPr>
              <w:pStyle w:val="ListParagraph"/>
              <w:numPr>
                <w:ilvl w:val="0"/>
                <w:numId w:val="29"/>
              </w:numPr>
            </w:pPr>
            <w:r w:rsidRPr="008717EF">
              <w:t>Each element of the care plan will be scored accordingly</w:t>
            </w:r>
            <w:r w:rsidR="00B42F22" w:rsidRPr="008717EF">
              <w:t>,</w:t>
            </w:r>
            <w:r w:rsidRPr="008717EF">
              <w:t xml:space="preserve"> with a total of eight possible points per High Priority Patient (HPP). The scoring methodology is the same for a regular care plan audit and a Fast Track audit. </w:t>
            </w:r>
          </w:p>
          <w:tbl>
            <w:tblPr>
              <w:tblStyle w:val="TableGrid"/>
              <w:tblW w:w="0" w:type="auto"/>
              <w:tblInd w:w="1417" w:type="dxa"/>
              <w:tblCellMar>
                <w:left w:w="72" w:type="dxa"/>
                <w:right w:w="72" w:type="dxa"/>
              </w:tblCellMar>
              <w:tblLook w:val="04A0" w:firstRow="1" w:lastRow="0" w:firstColumn="1" w:lastColumn="0" w:noHBand="0" w:noVBand="1"/>
            </w:tblPr>
            <w:tblGrid>
              <w:gridCol w:w="2779"/>
              <w:gridCol w:w="1830"/>
              <w:gridCol w:w="1831"/>
              <w:gridCol w:w="1831"/>
            </w:tblGrid>
            <w:tr w:rsidR="00A25996" w:rsidRPr="008717EF" w14:paraId="6BB16FD8" w14:textId="77777777" w:rsidTr="003225AE">
              <w:tc>
                <w:tcPr>
                  <w:tcW w:w="0" w:type="auto"/>
                  <w:shd w:val="clear" w:color="auto" w:fill="002060"/>
                  <w:vAlign w:val="center"/>
                </w:tcPr>
                <w:p w14:paraId="66E3CBBD" w14:textId="77777777" w:rsidR="00A25996" w:rsidRPr="008717EF" w:rsidRDefault="00A25996" w:rsidP="003225AE">
                  <w:pPr>
                    <w:pStyle w:val="TableHeading"/>
                    <w:spacing w:before="120" w:after="120" w:line="360" w:lineRule="auto"/>
                  </w:pPr>
                  <w:r w:rsidRPr="008717EF">
                    <w:lastRenderedPageBreak/>
                    <w:t>Care Plan Element</w:t>
                  </w:r>
                </w:p>
              </w:tc>
              <w:tc>
                <w:tcPr>
                  <w:tcW w:w="1830" w:type="dxa"/>
                  <w:shd w:val="clear" w:color="auto" w:fill="002060"/>
                  <w:vAlign w:val="center"/>
                </w:tcPr>
                <w:p w14:paraId="4C0BEF78" w14:textId="77777777" w:rsidR="00A25996" w:rsidRPr="008717EF" w:rsidRDefault="00A25996" w:rsidP="003225AE">
                  <w:pPr>
                    <w:pStyle w:val="TableHeading"/>
                    <w:spacing w:before="120" w:after="120" w:line="360" w:lineRule="auto"/>
                  </w:pPr>
                  <w:r w:rsidRPr="008717EF">
                    <w:t xml:space="preserve">Point Value </w:t>
                  </w:r>
                  <w:r w:rsidRPr="008717EF">
                    <w:br/>
                    <w:t>(Care Plan 1)</w:t>
                  </w:r>
                </w:p>
              </w:tc>
              <w:tc>
                <w:tcPr>
                  <w:tcW w:w="1831" w:type="dxa"/>
                  <w:shd w:val="clear" w:color="auto" w:fill="002060"/>
                  <w:vAlign w:val="center"/>
                </w:tcPr>
                <w:p w14:paraId="00EEB852" w14:textId="77777777" w:rsidR="00A25996" w:rsidRPr="008717EF" w:rsidRDefault="00A25996" w:rsidP="003225AE">
                  <w:pPr>
                    <w:pStyle w:val="TableHeading"/>
                    <w:spacing w:before="120" w:after="120" w:line="360" w:lineRule="auto"/>
                  </w:pPr>
                  <w:r w:rsidRPr="008717EF">
                    <w:t xml:space="preserve">Point Value </w:t>
                  </w:r>
                  <w:r w:rsidRPr="008717EF">
                    <w:br/>
                    <w:t>(Care Plan 2)</w:t>
                  </w:r>
                </w:p>
              </w:tc>
              <w:tc>
                <w:tcPr>
                  <w:tcW w:w="1831" w:type="dxa"/>
                  <w:shd w:val="clear" w:color="auto" w:fill="002060"/>
                  <w:vAlign w:val="center"/>
                </w:tcPr>
                <w:p w14:paraId="6121E094" w14:textId="77777777" w:rsidR="00A25996" w:rsidRPr="008717EF" w:rsidRDefault="00A25996" w:rsidP="003225AE">
                  <w:pPr>
                    <w:pStyle w:val="TableHeading"/>
                    <w:spacing w:before="120" w:after="120" w:line="360" w:lineRule="auto"/>
                  </w:pPr>
                  <w:r w:rsidRPr="008717EF">
                    <w:t>Total Possible Points per HPP</w:t>
                  </w:r>
                </w:p>
              </w:tc>
            </w:tr>
            <w:tr w:rsidR="00A25996" w:rsidRPr="008717EF" w14:paraId="34667ADF" w14:textId="77777777" w:rsidTr="003225AE">
              <w:tc>
                <w:tcPr>
                  <w:tcW w:w="0" w:type="auto"/>
                  <w:vAlign w:val="center"/>
                </w:tcPr>
                <w:p w14:paraId="111CB439" w14:textId="77777777" w:rsidR="00A25996" w:rsidRPr="008717EF" w:rsidRDefault="00A25996" w:rsidP="00DB29A6">
                  <w:pPr>
                    <w:pStyle w:val="TableText"/>
                  </w:pPr>
                  <w:r w:rsidRPr="008717EF">
                    <w:t>Problem list</w:t>
                  </w:r>
                </w:p>
              </w:tc>
              <w:tc>
                <w:tcPr>
                  <w:tcW w:w="1830" w:type="dxa"/>
                  <w:vAlign w:val="center"/>
                </w:tcPr>
                <w:p w14:paraId="153AA0D6" w14:textId="77777777" w:rsidR="00A25996" w:rsidRPr="008717EF" w:rsidRDefault="00A25996" w:rsidP="00DB29A6">
                  <w:pPr>
                    <w:pStyle w:val="TableText"/>
                  </w:pPr>
                  <w:r w:rsidRPr="008717EF">
                    <w:t>1</w:t>
                  </w:r>
                </w:p>
              </w:tc>
              <w:tc>
                <w:tcPr>
                  <w:tcW w:w="1831" w:type="dxa"/>
                  <w:vAlign w:val="center"/>
                </w:tcPr>
                <w:p w14:paraId="0538F914" w14:textId="77777777" w:rsidR="00A25996" w:rsidRPr="008717EF" w:rsidRDefault="00A25996" w:rsidP="00DB29A6">
                  <w:pPr>
                    <w:pStyle w:val="TableText"/>
                  </w:pPr>
                  <w:r w:rsidRPr="008717EF">
                    <w:t>1</w:t>
                  </w:r>
                </w:p>
              </w:tc>
              <w:tc>
                <w:tcPr>
                  <w:tcW w:w="1831" w:type="dxa"/>
                  <w:vAlign w:val="center"/>
                </w:tcPr>
                <w:p w14:paraId="75B824BE" w14:textId="77777777" w:rsidR="00A25996" w:rsidRPr="008717EF" w:rsidRDefault="00A25996" w:rsidP="00DB29A6">
                  <w:pPr>
                    <w:pStyle w:val="TableText"/>
                  </w:pPr>
                  <w:r w:rsidRPr="008717EF">
                    <w:t>2</w:t>
                  </w:r>
                </w:p>
              </w:tc>
            </w:tr>
            <w:tr w:rsidR="00A25996" w:rsidRPr="008717EF" w14:paraId="2AD2F25D" w14:textId="77777777" w:rsidTr="003225AE">
              <w:tc>
                <w:tcPr>
                  <w:tcW w:w="0" w:type="auto"/>
                  <w:vAlign w:val="center"/>
                </w:tcPr>
                <w:p w14:paraId="5A847B93" w14:textId="77777777" w:rsidR="00A25996" w:rsidRPr="008717EF" w:rsidRDefault="00A25996" w:rsidP="00DB29A6">
                  <w:pPr>
                    <w:pStyle w:val="TableText"/>
                  </w:pPr>
                  <w:r w:rsidRPr="008717EF">
                    <w:t>Assessment of problems</w:t>
                  </w:r>
                </w:p>
              </w:tc>
              <w:tc>
                <w:tcPr>
                  <w:tcW w:w="1830" w:type="dxa"/>
                  <w:vAlign w:val="center"/>
                </w:tcPr>
                <w:p w14:paraId="2785A9F2" w14:textId="77777777" w:rsidR="00A25996" w:rsidRPr="008717EF" w:rsidRDefault="00A25996" w:rsidP="00DB29A6">
                  <w:pPr>
                    <w:pStyle w:val="TableText"/>
                  </w:pPr>
                  <w:r w:rsidRPr="008717EF">
                    <w:t>1</w:t>
                  </w:r>
                </w:p>
              </w:tc>
              <w:tc>
                <w:tcPr>
                  <w:tcW w:w="1831" w:type="dxa"/>
                  <w:vAlign w:val="center"/>
                </w:tcPr>
                <w:p w14:paraId="4DD55FD6" w14:textId="77777777" w:rsidR="00A25996" w:rsidRPr="008717EF" w:rsidRDefault="00A25996" w:rsidP="00DB29A6">
                  <w:pPr>
                    <w:pStyle w:val="TableText"/>
                  </w:pPr>
                  <w:r w:rsidRPr="008717EF">
                    <w:t>1</w:t>
                  </w:r>
                </w:p>
              </w:tc>
              <w:tc>
                <w:tcPr>
                  <w:tcW w:w="1831" w:type="dxa"/>
                  <w:vAlign w:val="center"/>
                </w:tcPr>
                <w:p w14:paraId="0DCA740E" w14:textId="77777777" w:rsidR="00A25996" w:rsidRPr="008717EF" w:rsidRDefault="00A25996" w:rsidP="00DB29A6">
                  <w:pPr>
                    <w:pStyle w:val="TableText"/>
                  </w:pPr>
                  <w:r w:rsidRPr="008717EF">
                    <w:t>2</w:t>
                  </w:r>
                </w:p>
              </w:tc>
            </w:tr>
            <w:tr w:rsidR="00A25996" w:rsidRPr="008717EF" w14:paraId="350B19F7" w14:textId="77777777" w:rsidTr="003225AE">
              <w:tc>
                <w:tcPr>
                  <w:tcW w:w="0" w:type="auto"/>
                  <w:vAlign w:val="center"/>
                </w:tcPr>
                <w:p w14:paraId="79A892E1" w14:textId="77777777" w:rsidR="00A25996" w:rsidRPr="008717EF" w:rsidRDefault="00A25996" w:rsidP="00DB29A6">
                  <w:pPr>
                    <w:pStyle w:val="TableText"/>
                  </w:pPr>
                  <w:r w:rsidRPr="008717EF">
                    <w:t>Plan of Care</w:t>
                  </w:r>
                </w:p>
              </w:tc>
              <w:tc>
                <w:tcPr>
                  <w:tcW w:w="1830" w:type="dxa"/>
                  <w:vAlign w:val="center"/>
                </w:tcPr>
                <w:p w14:paraId="5317AB50" w14:textId="77777777" w:rsidR="00A25996" w:rsidRPr="008717EF" w:rsidRDefault="00A25996" w:rsidP="00DB29A6">
                  <w:pPr>
                    <w:pStyle w:val="TableText"/>
                  </w:pPr>
                  <w:r w:rsidRPr="008717EF">
                    <w:t>1</w:t>
                  </w:r>
                </w:p>
              </w:tc>
              <w:tc>
                <w:tcPr>
                  <w:tcW w:w="1831" w:type="dxa"/>
                  <w:vAlign w:val="center"/>
                </w:tcPr>
                <w:p w14:paraId="4E13F35A" w14:textId="77777777" w:rsidR="00A25996" w:rsidRPr="008717EF" w:rsidRDefault="00A25996" w:rsidP="00DB29A6">
                  <w:pPr>
                    <w:pStyle w:val="TableText"/>
                  </w:pPr>
                  <w:r w:rsidRPr="008717EF">
                    <w:t>1</w:t>
                  </w:r>
                </w:p>
              </w:tc>
              <w:tc>
                <w:tcPr>
                  <w:tcW w:w="1831" w:type="dxa"/>
                  <w:vAlign w:val="center"/>
                </w:tcPr>
                <w:p w14:paraId="6E6BB4FC" w14:textId="77777777" w:rsidR="00A25996" w:rsidRPr="008717EF" w:rsidRDefault="00A25996" w:rsidP="00DB29A6">
                  <w:pPr>
                    <w:pStyle w:val="TableText"/>
                  </w:pPr>
                  <w:r w:rsidRPr="008717EF">
                    <w:t>2</w:t>
                  </w:r>
                </w:p>
              </w:tc>
            </w:tr>
            <w:tr w:rsidR="00A25996" w:rsidRPr="008717EF" w14:paraId="6B818256" w14:textId="77777777" w:rsidTr="003225AE">
              <w:tc>
                <w:tcPr>
                  <w:tcW w:w="0" w:type="auto"/>
                  <w:vAlign w:val="center"/>
                </w:tcPr>
                <w:p w14:paraId="05EFDA4C" w14:textId="77777777" w:rsidR="00A25996" w:rsidRPr="008717EF" w:rsidRDefault="00A25996" w:rsidP="00DB29A6">
                  <w:pPr>
                    <w:pStyle w:val="TableText"/>
                  </w:pPr>
                  <w:r w:rsidRPr="008717EF">
                    <w:t>Instruction for follow up</w:t>
                  </w:r>
                </w:p>
              </w:tc>
              <w:tc>
                <w:tcPr>
                  <w:tcW w:w="1830" w:type="dxa"/>
                  <w:vAlign w:val="center"/>
                </w:tcPr>
                <w:p w14:paraId="5D96469C" w14:textId="77777777" w:rsidR="00A25996" w:rsidRPr="008717EF" w:rsidRDefault="00A25996" w:rsidP="00DB29A6">
                  <w:pPr>
                    <w:pStyle w:val="TableText"/>
                  </w:pPr>
                  <w:r w:rsidRPr="008717EF">
                    <w:t>1</w:t>
                  </w:r>
                </w:p>
              </w:tc>
              <w:tc>
                <w:tcPr>
                  <w:tcW w:w="1831" w:type="dxa"/>
                  <w:vAlign w:val="center"/>
                </w:tcPr>
                <w:p w14:paraId="691FC6EE" w14:textId="77777777" w:rsidR="00A25996" w:rsidRPr="008717EF" w:rsidRDefault="00A25996" w:rsidP="00DB29A6">
                  <w:pPr>
                    <w:pStyle w:val="TableText"/>
                  </w:pPr>
                  <w:r w:rsidRPr="008717EF">
                    <w:t>1</w:t>
                  </w:r>
                </w:p>
              </w:tc>
              <w:tc>
                <w:tcPr>
                  <w:tcW w:w="1831" w:type="dxa"/>
                  <w:vAlign w:val="center"/>
                </w:tcPr>
                <w:p w14:paraId="031F86C2" w14:textId="77777777" w:rsidR="00A25996" w:rsidRPr="008717EF" w:rsidRDefault="00A25996" w:rsidP="00DB29A6">
                  <w:pPr>
                    <w:pStyle w:val="TableText"/>
                  </w:pPr>
                  <w:r w:rsidRPr="008717EF">
                    <w:t>2</w:t>
                  </w:r>
                </w:p>
              </w:tc>
            </w:tr>
            <w:tr w:rsidR="00A25996" w:rsidRPr="008717EF" w14:paraId="7DB62A61" w14:textId="77777777" w:rsidTr="003225AE">
              <w:tc>
                <w:tcPr>
                  <w:tcW w:w="0" w:type="auto"/>
                  <w:vAlign w:val="center"/>
                </w:tcPr>
                <w:p w14:paraId="6272107C" w14:textId="77777777" w:rsidR="00A25996" w:rsidRPr="008717EF" w:rsidRDefault="00A25996" w:rsidP="00DB29A6">
                  <w:pPr>
                    <w:pStyle w:val="TableText"/>
                  </w:pPr>
                  <w:r w:rsidRPr="008717EF">
                    <w:t>Total possible points per HPP</w:t>
                  </w:r>
                </w:p>
              </w:tc>
              <w:tc>
                <w:tcPr>
                  <w:tcW w:w="1830" w:type="dxa"/>
                  <w:vAlign w:val="center"/>
                </w:tcPr>
                <w:p w14:paraId="4CEF3D89" w14:textId="77777777" w:rsidR="00A25996" w:rsidRPr="008717EF" w:rsidRDefault="00A25996" w:rsidP="00DB29A6">
                  <w:pPr>
                    <w:pStyle w:val="TableText"/>
                  </w:pPr>
                  <w:r w:rsidRPr="008717EF">
                    <w:t>4</w:t>
                  </w:r>
                </w:p>
              </w:tc>
              <w:tc>
                <w:tcPr>
                  <w:tcW w:w="1831" w:type="dxa"/>
                  <w:vAlign w:val="center"/>
                </w:tcPr>
                <w:p w14:paraId="11189E78" w14:textId="77777777" w:rsidR="00A25996" w:rsidRPr="008717EF" w:rsidRDefault="00A25996" w:rsidP="00DB29A6">
                  <w:pPr>
                    <w:pStyle w:val="TableText"/>
                  </w:pPr>
                  <w:r w:rsidRPr="008717EF">
                    <w:t>4</w:t>
                  </w:r>
                </w:p>
              </w:tc>
              <w:tc>
                <w:tcPr>
                  <w:tcW w:w="1831" w:type="dxa"/>
                  <w:vAlign w:val="center"/>
                </w:tcPr>
                <w:p w14:paraId="78841212" w14:textId="77777777" w:rsidR="00A25996" w:rsidRPr="008717EF" w:rsidRDefault="00A25996" w:rsidP="00DB29A6">
                  <w:pPr>
                    <w:pStyle w:val="TableText"/>
                  </w:pPr>
                  <w:r w:rsidRPr="008717EF">
                    <w:t>8</w:t>
                  </w:r>
                </w:p>
              </w:tc>
            </w:tr>
          </w:tbl>
          <w:p w14:paraId="5084D687" w14:textId="77777777" w:rsidR="00A25996" w:rsidRPr="008717EF" w:rsidRDefault="00A25996" w:rsidP="003225AE">
            <w:pPr>
              <w:spacing w:line="360" w:lineRule="auto"/>
            </w:pPr>
          </w:p>
          <w:p w14:paraId="1326ECA9" w14:textId="01C44912" w:rsidR="00A25996" w:rsidRPr="008717EF" w:rsidRDefault="00A25996" w:rsidP="00425466">
            <w:pPr>
              <w:pStyle w:val="ListParagraph"/>
            </w:pPr>
            <w:r w:rsidRPr="008717EF">
              <w:t xml:space="preserve">Practices are to document completion of this activity via the </w:t>
            </w:r>
            <w:r w:rsidR="00B8593E" w:rsidRPr="008717EF">
              <w:t xml:space="preserve">QCI </w:t>
            </w:r>
            <w:r w:rsidRPr="008717EF">
              <w:t>provider portal and attest that the described activity has been completed and that proper evidence of such can be provided upon request.</w:t>
            </w:r>
          </w:p>
        </w:tc>
      </w:tr>
    </w:tbl>
    <w:p w14:paraId="783D44B4" w14:textId="77777777" w:rsidR="00A25996" w:rsidRPr="008717EF" w:rsidRDefault="00A25996" w:rsidP="003225AE">
      <w:pPr>
        <w:spacing w:line="360" w:lineRule="auto"/>
      </w:pPr>
    </w:p>
    <w:p w14:paraId="6181AFC4" w14:textId="67666A86" w:rsidR="00A25996" w:rsidRPr="008717EF" w:rsidRDefault="00A25996" w:rsidP="003225AE">
      <w:pPr>
        <w:pStyle w:val="Heading3"/>
        <w:numPr>
          <w:ilvl w:val="0"/>
          <w:numId w:val="0"/>
        </w:numPr>
        <w:spacing w:before="120" w:line="360" w:lineRule="auto"/>
        <w:ind w:left="1350" w:hanging="1350"/>
      </w:pPr>
      <w:bookmarkStart w:id="68" w:name="_Toc113888473"/>
      <w:r w:rsidRPr="008717EF">
        <w:t xml:space="preserve">Activity </w:t>
      </w:r>
      <w:r w:rsidR="005F4331" w:rsidRPr="008717EF">
        <w:t>H</w:t>
      </w:r>
      <w:r w:rsidRPr="008717EF">
        <w:t>: Patient Literacy Assessment Tool</w:t>
      </w:r>
      <w:bookmarkEnd w:id="68"/>
    </w:p>
    <w:tbl>
      <w:tblPr>
        <w:tblStyle w:val="TableGrid"/>
        <w:tblW w:w="5000" w:type="pct"/>
        <w:tblLook w:val="04A0" w:firstRow="1" w:lastRow="0" w:firstColumn="1" w:lastColumn="0" w:noHBand="0" w:noVBand="1"/>
      </w:tblPr>
      <w:tblGrid>
        <w:gridCol w:w="12950"/>
      </w:tblGrid>
      <w:tr w:rsidR="00A25996" w:rsidRPr="008717EF" w14:paraId="1C31100D" w14:textId="77777777" w:rsidTr="00BB1ECF">
        <w:trPr>
          <w:tblHeader/>
        </w:trPr>
        <w:tc>
          <w:tcPr>
            <w:tcW w:w="5000" w:type="pct"/>
            <w:shd w:val="clear" w:color="auto" w:fill="002060"/>
            <w:vAlign w:val="center"/>
          </w:tcPr>
          <w:p w14:paraId="4740CE24" w14:textId="547F8451" w:rsidR="00A25996" w:rsidRPr="008717EF" w:rsidRDefault="00A25996" w:rsidP="003225AE">
            <w:pPr>
              <w:pStyle w:val="TableHeading"/>
              <w:spacing w:before="120" w:after="120" w:line="360" w:lineRule="auto"/>
            </w:pPr>
            <w:r w:rsidRPr="008717EF">
              <w:t xml:space="preserve">Activity </w:t>
            </w:r>
            <w:r w:rsidR="005F4331" w:rsidRPr="008717EF">
              <w:t xml:space="preserve">H </w:t>
            </w:r>
            <w:r w:rsidRPr="008717EF">
              <w:t>Deadline: 12/31/</w:t>
            </w:r>
            <w:r w:rsidR="007C29FA" w:rsidRPr="008717EF">
              <w:t>202</w:t>
            </w:r>
            <w:r w:rsidR="007C29FA">
              <w:t>3</w:t>
            </w:r>
          </w:p>
        </w:tc>
      </w:tr>
      <w:tr w:rsidR="00A25996" w:rsidRPr="008717EF" w14:paraId="58F081AF" w14:textId="77777777" w:rsidTr="00BB1ECF">
        <w:tc>
          <w:tcPr>
            <w:tcW w:w="5000" w:type="pct"/>
          </w:tcPr>
          <w:p w14:paraId="21417574" w14:textId="65699175" w:rsidR="00A25996" w:rsidRPr="008717EF" w:rsidRDefault="00A25996" w:rsidP="00064801">
            <w:pPr>
              <w:pStyle w:val="ListParagraph"/>
              <w:numPr>
                <w:ilvl w:val="0"/>
                <w:numId w:val="29"/>
              </w:numPr>
            </w:pPr>
            <w:r w:rsidRPr="008717EF">
              <w:t>Choose any health literacy tool and administer the screening to at least 75 beneficiaries (enrolled in the PCMH program) or their caregivers. Returning practices should select 75 beneficiaries that have not had a health literacy screening.</w:t>
            </w:r>
          </w:p>
          <w:p w14:paraId="6743957E" w14:textId="77777777" w:rsidR="00A25996" w:rsidRPr="008717EF" w:rsidRDefault="00A25996" w:rsidP="00064801">
            <w:pPr>
              <w:pStyle w:val="ListParagraph"/>
              <w:numPr>
                <w:ilvl w:val="0"/>
                <w:numId w:val="29"/>
              </w:numPr>
            </w:pPr>
            <w:r w:rsidRPr="008717EF">
              <w:t>A list of health literacy tools suggested by the UAMS Center for Health Literacy may be obtained from the PCMHs AFMC Outreach Specialists.</w:t>
            </w:r>
          </w:p>
          <w:p w14:paraId="26CADF03" w14:textId="77777777" w:rsidR="00A25996" w:rsidRPr="008717EF" w:rsidRDefault="00A25996" w:rsidP="00064801">
            <w:pPr>
              <w:pStyle w:val="ListParagraph"/>
              <w:numPr>
                <w:ilvl w:val="0"/>
                <w:numId w:val="29"/>
              </w:numPr>
            </w:pPr>
            <w:r w:rsidRPr="008717EF">
              <w:t>Provide an example of the tool used to assess health literacy.</w:t>
            </w:r>
          </w:p>
          <w:p w14:paraId="4FDA4091" w14:textId="77777777" w:rsidR="00A25996" w:rsidRPr="008717EF" w:rsidRDefault="00A25996" w:rsidP="00064801">
            <w:pPr>
              <w:pStyle w:val="ListParagraph"/>
              <w:numPr>
                <w:ilvl w:val="0"/>
                <w:numId w:val="29"/>
              </w:numPr>
            </w:pPr>
            <w:r w:rsidRPr="008717EF">
              <w:lastRenderedPageBreak/>
              <w:t xml:space="preserve">Provide a description of the overall results of the assessment.  </w:t>
            </w:r>
          </w:p>
          <w:p w14:paraId="02EBE9A6" w14:textId="4D9FF28C" w:rsidR="00A25996" w:rsidRPr="008717EF" w:rsidRDefault="00A25996" w:rsidP="00064801">
            <w:pPr>
              <w:pStyle w:val="ListParagraph"/>
              <w:numPr>
                <w:ilvl w:val="0"/>
                <w:numId w:val="29"/>
              </w:numPr>
            </w:pPr>
            <w:r w:rsidRPr="008717EF">
              <w:t xml:space="preserve">Develop and describe a plan to help low health literacy beneficiaries to understand instructions and education materials.  </w:t>
            </w:r>
          </w:p>
          <w:p w14:paraId="2F6F3928" w14:textId="6327304A" w:rsidR="00A25996" w:rsidRPr="008717EF" w:rsidRDefault="00A25996" w:rsidP="00064801">
            <w:pPr>
              <w:pStyle w:val="ListParagraph"/>
              <w:numPr>
                <w:ilvl w:val="0"/>
                <w:numId w:val="29"/>
              </w:numPr>
            </w:pPr>
            <w:r w:rsidRPr="008717EF">
              <w:t xml:space="preserve">Practices are to document completion of this activity via the </w:t>
            </w:r>
            <w:r w:rsidR="00E90AD5" w:rsidRPr="008717EF">
              <w:t xml:space="preserve">QCI </w:t>
            </w:r>
            <w:r w:rsidRPr="008717EF">
              <w:t>provider portal and attest that the described activity has been completed and that proper evidence of such can be provided upon request.</w:t>
            </w:r>
          </w:p>
        </w:tc>
      </w:tr>
    </w:tbl>
    <w:p w14:paraId="1DABF25D" w14:textId="77777777" w:rsidR="00A25996" w:rsidRPr="008717EF" w:rsidRDefault="00A25996" w:rsidP="003225AE">
      <w:pPr>
        <w:spacing w:line="360" w:lineRule="auto"/>
        <w:rPr>
          <w:lang w:eastAsia="ja-JP"/>
        </w:rPr>
      </w:pPr>
    </w:p>
    <w:p w14:paraId="17EDD68B" w14:textId="24033015" w:rsidR="00960B23" w:rsidRPr="008717EF" w:rsidRDefault="00960B23" w:rsidP="00F52897">
      <w:pPr>
        <w:pStyle w:val="Heading3"/>
        <w:numPr>
          <w:ilvl w:val="0"/>
          <w:numId w:val="0"/>
        </w:numPr>
        <w:spacing w:before="120" w:line="360" w:lineRule="auto"/>
        <w:ind w:left="1350" w:hanging="1350"/>
      </w:pPr>
      <w:bookmarkStart w:id="69" w:name="_Toc113888474"/>
      <w:r w:rsidRPr="008717EF">
        <w:t>Activity I:  Patient and Family Engagement</w:t>
      </w:r>
      <w:bookmarkEnd w:id="69"/>
    </w:p>
    <w:tbl>
      <w:tblPr>
        <w:tblStyle w:val="TableGrid"/>
        <w:tblW w:w="5000" w:type="pct"/>
        <w:tblLook w:val="04A0" w:firstRow="1" w:lastRow="0" w:firstColumn="1" w:lastColumn="0" w:noHBand="0" w:noVBand="1"/>
      </w:tblPr>
      <w:tblGrid>
        <w:gridCol w:w="12950"/>
      </w:tblGrid>
      <w:tr w:rsidR="00960B23" w:rsidRPr="008717EF" w14:paraId="7F49E367" w14:textId="77777777" w:rsidTr="00654C43">
        <w:trPr>
          <w:tblHeader/>
        </w:trPr>
        <w:tc>
          <w:tcPr>
            <w:tcW w:w="5000" w:type="pct"/>
            <w:shd w:val="clear" w:color="auto" w:fill="002060"/>
            <w:vAlign w:val="center"/>
          </w:tcPr>
          <w:p w14:paraId="1A4C619F" w14:textId="295848CF" w:rsidR="00960B23" w:rsidRPr="008717EF" w:rsidRDefault="00960B23" w:rsidP="00654C43">
            <w:pPr>
              <w:pStyle w:val="TableHeading"/>
              <w:spacing w:before="120" w:after="120" w:line="360" w:lineRule="auto"/>
            </w:pPr>
            <w:r w:rsidRPr="008717EF">
              <w:t>Activity I Deadline: 12/31/</w:t>
            </w:r>
            <w:r w:rsidR="007C29FA" w:rsidRPr="008717EF">
              <w:t>202</w:t>
            </w:r>
            <w:r w:rsidR="007C29FA">
              <w:t>3</w:t>
            </w:r>
          </w:p>
        </w:tc>
      </w:tr>
      <w:tr w:rsidR="00960B23" w:rsidRPr="008717EF" w14:paraId="1DDF2CF4" w14:textId="77777777" w:rsidTr="00654C43">
        <w:tc>
          <w:tcPr>
            <w:tcW w:w="5000" w:type="pct"/>
          </w:tcPr>
          <w:p w14:paraId="50A5F408" w14:textId="77777777" w:rsidR="00960B23" w:rsidRPr="008717EF" w:rsidRDefault="00960B23" w:rsidP="00654C43">
            <w:pPr>
              <w:ind w:left="360"/>
            </w:pPr>
            <w:r w:rsidRPr="008717EF">
              <w:t>The purpose of this activity is to establish proactive communication and partnered decision-making between providers, patients, families, and caregivers. It is about building a relationship that is based on trust and inclusion of individual values and beliefs.</w:t>
            </w:r>
          </w:p>
          <w:p w14:paraId="098FBC70" w14:textId="2D4DB3C6" w:rsidR="00960B23" w:rsidRPr="008717EF" w:rsidRDefault="00960B23" w:rsidP="00425466">
            <w:pPr>
              <w:pStyle w:val="ListParagraph"/>
              <w:numPr>
                <w:ilvl w:val="0"/>
                <w:numId w:val="27"/>
              </w:numPr>
            </w:pPr>
            <w:r w:rsidRPr="008717EF">
              <w:t>Indicate if the practice has an established process for patient and family engagement</w:t>
            </w:r>
            <w:r w:rsidR="009342CD" w:rsidRPr="008717EF">
              <w:t xml:space="preserve">. *Note: if a PCMH has not established a process, it </w:t>
            </w:r>
            <w:r w:rsidR="009342CD" w:rsidRPr="008717EF">
              <w:rPr>
                <w:i/>
                <w:iCs/>
              </w:rPr>
              <w:t>will not</w:t>
            </w:r>
            <w:r w:rsidR="009342CD" w:rsidRPr="008717EF">
              <w:t xml:space="preserve"> cause a failure of this activity.</w:t>
            </w:r>
          </w:p>
          <w:p w14:paraId="6A3CCCE2" w14:textId="77777777" w:rsidR="00960B23" w:rsidRPr="002E2A0D" w:rsidRDefault="00960B23" w:rsidP="00425466">
            <w:pPr>
              <w:pStyle w:val="ListParagraph"/>
              <w:numPr>
                <w:ilvl w:val="1"/>
                <w:numId w:val="27"/>
              </w:numPr>
            </w:pPr>
            <w:r w:rsidRPr="008717EF">
              <w:t>Describe:</w:t>
            </w:r>
          </w:p>
          <w:p w14:paraId="398CDCC8" w14:textId="0BB5A576" w:rsidR="00960B23" w:rsidRPr="008717EF" w:rsidRDefault="00960B23" w:rsidP="00425466">
            <w:pPr>
              <w:pStyle w:val="ListParagraph"/>
              <w:numPr>
                <w:ilvl w:val="2"/>
                <w:numId w:val="27"/>
              </w:numPr>
            </w:pPr>
            <w:r w:rsidRPr="002E2A0D">
              <w:t>The method used</w:t>
            </w:r>
            <w:r w:rsidR="00C2714B" w:rsidRPr="002E2A0D">
              <w:t xml:space="preserve"> to</w:t>
            </w:r>
            <w:r w:rsidRPr="002E2A0D">
              <w:t xml:space="preserve"> engage </w:t>
            </w:r>
            <w:r w:rsidRPr="008717EF">
              <w:t>patients and families in decisions regarding the patient’s care</w:t>
            </w:r>
          </w:p>
          <w:p w14:paraId="6BFEC6F6" w14:textId="77777777" w:rsidR="00960B23" w:rsidRPr="008717EF" w:rsidRDefault="00960B23" w:rsidP="00425466">
            <w:pPr>
              <w:pStyle w:val="ListParagraph"/>
              <w:numPr>
                <w:ilvl w:val="2"/>
                <w:numId w:val="27"/>
              </w:numPr>
            </w:pPr>
            <w:r w:rsidRPr="008717EF">
              <w:t>Provide examples of tools used in the practice to engage patients and families.</w:t>
            </w:r>
          </w:p>
          <w:p w14:paraId="2823B132" w14:textId="77777777" w:rsidR="00960B23" w:rsidRPr="008717EF" w:rsidRDefault="00960B23" w:rsidP="00425466">
            <w:pPr>
              <w:pStyle w:val="ListParagraph"/>
              <w:numPr>
                <w:ilvl w:val="2"/>
                <w:numId w:val="27"/>
              </w:numPr>
            </w:pPr>
            <w:r w:rsidRPr="008717EF">
              <w:t xml:space="preserve">If the practice does not have a current process for patient and family engagement, explain future plans to develop a process. </w:t>
            </w:r>
          </w:p>
          <w:p w14:paraId="625972DD" w14:textId="323E8B89" w:rsidR="00960B23" w:rsidRPr="008717EF" w:rsidRDefault="00960B23" w:rsidP="00425466">
            <w:pPr>
              <w:pStyle w:val="ListParagraph"/>
              <w:numPr>
                <w:ilvl w:val="1"/>
                <w:numId w:val="27"/>
              </w:numPr>
            </w:pPr>
            <w:r w:rsidRPr="008717EF">
              <w:t xml:space="preserve">Information on </w:t>
            </w:r>
            <w:r w:rsidR="0069704C" w:rsidRPr="008717EF">
              <w:t>patient and family engagement</w:t>
            </w:r>
            <w:r w:rsidRPr="008717EF">
              <w:t xml:space="preserve"> may be found on the CMS website at: </w:t>
            </w:r>
            <w:hyperlink r:id="rId32" w:history="1">
              <w:r w:rsidRPr="008717EF">
                <w:rPr>
                  <w:rStyle w:val="Hyperlink"/>
                  <w:sz w:val="20"/>
                </w:rPr>
                <w:t>https://www.cms.gov/Medicare/Quality-Initiatives-Patient-Assessment-Instruments/QualityInitiativesGenInfo/Downloads/Person-and-Family-Engagement-Strategy-Summary.pdf</w:t>
              </w:r>
            </w:hyperlink>
          </w:p>
          <w:p w14:paraId="1C98681F" w14:textId="270FBD82" w:rsidR="00960B23" w:rsidRPr="008717EF" w:rsidRDefault="00960B23" w:rsidP="00425466">
            <w:pPr>
              <w:pStyle w:val="ListParagraph"/>
              <w:numPr>
                <w:ilvl w:val="0"/>
                <w:numId w:val="27"/>
              </w:numPr>
            </w:pPr>
            <w:r w:rsidRPr="008717EF">
              <w:t xml:space="preserve">Practices are to document completion of this activity via the </w:t>
            </w:r>
            <w:r w:rsidR="00E90AD5" w:rsidRPr="008717EF">
              <w:t xml:space="preserve">QCI </w:t>
            </w:r>
            <w:r w:rsidRPr="008717EF">
              <w:t>provider portal and attest that the described activity has been completed and that proper evidence of such can be provided upon request.</w:t>
            </w:r>
          </w:p>
        </w:tc>
      </w:tr>
    </w:tbl>
    <w:p w14:paraId="15CC4F41" w14:textId="77777777" w:rsidR="00960B23" w:rsidRPr="008717EF" w:rsidRDefault="00960B23" w:rsidP="00960B23">
      <w:pPr>
        <w:spacing w:line="360" w:lineRule="auto"/>
      </w:pPr>
    </w:p>
    <w:p w14:paraId="1CE8D668" w14:textId="17F083D0" w:rsidR="00A25996" w:rsidRPr="008717EF" w:rsidRDefault="00A25996" w:rsidP="003225AE">
      <w:pPr>
        <w:pStyle w:val="Heading3"/>
        <w:numPr>
          <w:ilvl w:val="0"/>
          <w:numId w:val="0"/>
        </w:numPr>
        <w:spacing w:before="120" w:line="360" w:lineRule="auto"/>
        <w:ind w:left="1350" w:hanging="1350"/>
      </w:pPr>
      <w:bookmarkStart w:id="70" w:name="_Toc113888475"/>
      <w:r w:rsidRPr="008717EF">
        <w:lastRenderedPageBreak/>
        <w:t xml:space="preserve">Activity </w:t>
      </w:r>
      <w:r w:rsidR="00BC170D" w:rsidRPr="008717EF">
        <w:t>J</w:t>
      </w:r>
      <w:r w:rsidRPr="008717EF">
        <w:t>: Care Instructions for High Priority Patients</w:t>
      </w:r>
      <w:bookmarkEnd w:id="70"/>
    </w:p>
    <w:tbl>
      <w:tblPr>
        <w:tblStyle w:val="TableGrid"/>
        <w:tblW w:w="5000" w:type="pct"/>
        <w:tblLook w:val="04A0" w:firstRow="1" w:lastRow="0" w:firstColumn="1" w:lastColumn="0" w:noHBand="0" w:noVBand="1"/>
      </w:tblPr>
      <w:tblGrid>
        <w:gridCol w:w="12950"/>
      </w:tblGrid>
      <w:tr w:rsidR="00A25996" w:rsidRPr="008717EF" w14:paraId="6EDB08C7" w14:textId="77777777" w:rsidTr="00BB1ECF">
        <w:trPr>
          <w:tblHeader/>
        </w:trPr>
        <w:tc>
          <w:tcPr>
            <w:tcW w:w="5000" w:type="pct"/>
            <w:shd w:val="clear" w:color="auto" w:fill="002060"/>
            <w:vAlign w:val="center"/>
          </w:tcPr>
          <w:p w14:paraId="2B7627A1" w14:textId="3AEDE300" w:rsidR="00A25996" w:rsidRPr="008717EF" w:rsidRDefault="00A25996" w:rsidP="003225AE">
            <w:pPr>
              <w:pStyle w:val="TableHeading"/>
              <w:spacing w:before="120" w:after="120" w:line="360" w:lineRule="auto"/>
            </w:pPr>
            <w:r w:rsidRPr="008717EF">
              <w:t xml:space="preserve">Activity </w:t>
            </w:r>
            <w:r w:rsidR="00BC170D" w:rsidRPr="008717EF">
              <w:t xml:space="preserve">J </w:t>
            </w:r>
            <w:r w:rsidRPr="008717EF">
              <w:t>Deadline: 12/31/</w:t>
            </w:r>
            <w:r w:rsidR="007C29FA" w:rsidRPr="008717EF">
              <w:t>202</w:t>
            </w:r>
            <w:r w:rsidR="007C29FA">
              <w:t>3</w:t>
            </w:r>
          </w:p>
        </w:tc>
      </w:tr>
      <w:tr w:rsidR="00A25996" w:rsidRPr="008717EF" w14:paraId="0B9CCB97" w14:textId="77777777" w:rsidTr="00BB1ECF">
        <w:tc>
          <w:tcPr>
            <w:tcW w:w="5000" w:type="pct"/>
          </w:tcPr>
          <w:p w14:paraId="63ECAA75" w14:textId="76DAF49B" w:rsidR="00A25996" w:rsidRPr="008717EF" w:rsidRDefault="00A25996" w:rsidP="00425466">
            <w:pPr>
              <w:pStyle w:val="ListParagraph"/>
              <w:numPr>
                <w:ilvl w:val="0"/>
                <w:numId w:val="14"/>
              </w:numPr>
            </w:pPr>
            <w:r w:rsidRPr="008717EF">
              <w:t xml:space="preserve">Compile relevant and actionable information </w:t>
            </w:r>
            <w:r w:rsidR="00C2714B" w:rsidRPr="008717EF">
              <w:t>including</w:t>
            </w:r>
            <w:r w:rsidRPr="008717EF">
              <w:t xml:space="preserve"> diagnosis, medication list, tests and results (if available), referral information (if applicable), and follow up instructions. </w:t>
            </w:r>
          </w:p>
          <w:p w14:paraId="09544790" w14:textId="77777777" w:rsidR="00A25996" w:rsidRPr="008717EF" w:rsidRDefault="00A25996" w:rsidP="00425466">
            <w:pPr>
              <w:pStyle w:val="ListParagraph"/>
              <w:numPr>
                <w:ilvl w:val="0"/>
                <w:numId w:val="14"/>
              </w:numPr>
            </w:pPr>
            <w:r w:rsidRPr="008717EF">
              <w:t xml:space="preserve">Create an after-visit summary of the information from patient’s last visit. </w:t>
            </w:r>
          </w:p>
          <w:p w14:paraId="014A18DD" w14:textId="4D524005" w:rsidR="00A25996" w:rsidRPr="002E2A0D" w:rsidRDefault="00A25996" w:rsidP="00425466">
            <w:pPr>
              <w:pStyle w:val="ListParagraph"/>
              <w:numPr>
                <w:ilvl w:val="0"/>
                <w:numId w:val="14"/>
              </w:numPr>
            </w:pPr>
            <w:r w:rsidRPr="008717EF">
              <w:t xml:space="preserve">The patient will receive a </w:t>
            </w:r>
            <w:r w:rsidRPr="002E2A0D">
              <w:t xml:space="preserve">copy of the after-visit summary based on the patient’s preferred method of delivery. Methods by which a patient may choose to receive </w:t>
            </w:r>
            <w:r w:rsidR="00C2714B" w:rsidRPr="002E2A0D">
              <w:t xml:space="preserve">his/her </w:t>
            </w:r>
            <w:r w:rsidRPr="002E2A0D">
              <w:t>after-visit summary include the following:</w:t>
            </w:r>
          </w:p>
          <w:p w14:paraId="12A87695" w14:textId="49EB6081" w:rsidR="00A25996" w:rsidRPr="008717EF" w:rsidRDefault="00A25996" w:rsidP="00425466">
            <w:pPr>
              <w:pStyle w:val="ListParagraph"/>
              <w:numPr>
                <w:ilvl w:val="1"/>
                <w:numId w:val="14"/>
              </w:numPr>
            </w:pPr>
            <w:r w:rsidRPr="002E2A0D">
              <w:t xml:space="preserve">The patient will either receive a paper copy of the summary after </w:t>
            </w:r>
            <w:r w:rsidR="00C2714B" w:rsidRPr="002E2A0D">
              <w:t xml:space="preserve">his/her </w:t>
            </w:r>
            <w:r w:rsidRPr="002E2A0D">
              <w:t>visit</w:t>
            </w:r>
            <w:r w:rsidRPr="008717EF">
              <w:t>, prior to leaving the clinic.</w:t>
            </w:r>
          </w:p>
          <w:p w14:paraId="63D9F09E" w14:textId="77777777" w:rsidR="00A25996" w:rsidRPr="008717EF" w:rsidRDefault="00A25996" w:rsidP="00425466">
            <w:pPr>
              <w:pStyle w:val="ListParagraph"/>
              <w:numPr>
                <w:ilvl w:val="1"/>
                <w:numId w:val="14"/>
              </w:numPr>
            </w:pPr>
            <w:r w:rsidRPr="008717EF">
              <w:t xml:space="preserve">A copy of the summary will be mailed to the patient at the address listed in the record within three days of the visit, or completion of any lab test related to the visit </w:t>
            </w:r>
          </w:p>
          <w:p w14:paraId="3AF0D579" w14:textId="77777777" w:rsidR="00A25996" w:rsidRPr="008717EF" w:rsidRDefault="00A25996" w:rsidP="00425466">
            <w:pPr>
              <w:pStyle w:val="ListParagraph"/>
              <w:numPr>
                <w:ilvl w:val="1"/>
                <w:numId w:val="14"/>
              </w:numPr>
            </w:pPr>
            <w:r w:rsidRPr="008717EF">
              <w:t xml:space="preserve">An electronic copy of the summary will be made available to the patient via a patient portal </w:t>
            </w:r>
          </w:p>
          <w:p w14:paraId="443A4CB0" w14:textId="163466D5" w:rsidR="00A25996" w:rsidRPr="008717EF" w:rsidRDefault="00A25996" w:rsidP="00425466">
            <w:pPr>
              <w:pStyle w:val="ListParagraph"/>
              <w:numPr>
                <w:ilvl w:val="0"/>
                <w:numId w:val="14"/>
              </w:numPr>
            </w:pPr>
            <w:r w:rsidRPr="008717EF">
              <w:t xml:space="preserve">Practices are to document completion of this activity via the </w:t>
            </w:r>
            <w:r w:rsidR="001F56E0" w:rsidRPr="008717EF">
              <w:t xml:space="preserve">QCI </w:t>
            </w:r>
            <w:r w:rsidRPr="008717EF">
              <w:t>provider portal and attest that the described activity has been completed and that proper evidence of such can be provided upon request.</w:t>
            </w:r>
          </w:p>
        </w:tc>
      </w:tr>
    </w:tbl>
    <w:p w14:paraId="193B168E" w14:textId="0CCEAA9A" w:rsidR="00A25996" w:rsidRPr="008717EF" w:rsidRDefault="00A25996" w:rsidP="003225AE">
      <w:pPr>
        <w:spacing w:line="360" w:lineRule="auto"/>
        <w:rPr>
          <w:lang w:eastAsia="ja-JP"/>
        </w:rPr>
      </w:pPr>
    </w:p>
    <w:p w14:paraId="6A518BA7" w14:textId="038C1B45" w:rsidR="007A0D4E" w:rsidRPr="008717EF" w:rsidRDefault="007A0D4E" w:rsidP="00F52897">
      <w:pPr>
        <w:pStyle w:val="Heading3"/>
        <w:numPr>
          <w:ilvl w:val="0"/>
          <w:numId w:val="0"/>
        </w:numPr>
        <w:spacing w:before="120" w:line="360" w:lineRule="auto"/>
        <w:ind w:left="1350" w:hanging="1350"/>
      </w:pPr>
      <w:bookmarkStart w:id="71" w:name="_Toc113888476"/>
      <w:r w:rsidRPr="008717EF">
        <w:t xml:space="preserve">Activity </w:t>
      </w:r>
      <w:r w:rsidR="00B85CE9" w:rsidRPr="008717EF">
        <w:t>K</w:t>
      </w:r>
      <w:r w:rsidRPr="008717EF">
        <w:t>: Social Determinants of Health</w:t>
      </w:r>
      <w:bookmarkEnd w:id="71"/>
    </w:p>
    <w:tbl>
      <w:tblPr>
        <w:tblStyle w:val="TableGrid"/>
        <w:tblW w:w="5000" w:type="pct"/>
        <w:tblLook w:val="04A0" w:firstRow="1" w:lastRow="0" w:firstColumn="1" w:lastColumn="0" w:noHBand="0" w:noVBand="1"/>
      </w:tblPr>
      <w:tblGrid>
        <w:gridCol w:w="12950"/>
      </w:tblGrid>
      <w:tr w:rsidR="007A0D4E" w:rsidRPr="008717EF" w14:paraId="7BECD732" w14:textId="748C3EE2" w:rsidTr="00654C43">
        <w:trPr>
          <w:tblHeader/>
        </w:trPr>
        <w:tc>
          <w:tcPr>
            <w:tcW w:w="5000" w:type="pct"/>
            <w:shd w:val="clear" w:color="auto" w:fill="002060"/>
            <w:vAlign w:val="center"/>
          </w:tcPr>
          <w:p w14:paraId="55676DD1" w14:textId="30FECDEE" w:rsidR="007A0D4E" w:rsidRPr="008717EF" w:rsidRDefault="007A0D4E" w:rsidP="00654C43">
            <w:pPr>
              <w:pStyle w:val="TableHeading"/>
              <w:spacing w:before="120" w:after="120" w:line="360" w:lineRule="auto"/>
            </w:pPr>
            <w:r w:rsidRPr="008717EF">
              <w:t xml:space="preserve">Activity </w:t>
            </w:r>
            <w:r w:rsidR="00B85CE9" w:rsidRPr="008717EF">
              <w:t xml:space="preserve">K </w:t>
            </w:r>
            <w:r w:rsidRPr="008717EF">
              <w:t>Deadline: 12/31/</w:t>
            </w:r>
            <w:r w:rsidR="00064801" w:rsidRPr="008717EF">
              <w:t>202</w:t>
            </w:r>
            <w:r w:rsidR="00064801">
              <w:t>3</w:t>
            </w:r>
          </w:p>
        </w:tc>
      </w:tr>
      <w:tr w:rsidR="007A0D4E" w:rsidRPr="008717EF" w14:paraId="3160B5F5" w14:textId="07C2C076" w:rsidTr="00654C43">
        <w:tc>
          <w:tcPr>
            <w:tcW w:w="5000" w:type="pct"/>
          </w:tcPr>
          <w:p w14:paraId="48088510" w14:textId="6600DC7C" w:rsidR="007A0D4E" w:rsidRPr="008717EF" w:rsidRDefault="007A0D4E" w:rsidP="001F5FBD">
            <w:pPr>
              <w:ind w:left="360"/>
            </w:pPr>
            <w:r w:rsidRPr="008717EF">
              <w:t xml:space="preserve">The purpose of this activity is to gather information regarding </w:t>
            </w:r>
            <w:r w:rsidR="00A60A03" w:rsidRPr="008717EF">
              <w:t xml:space="preserve">whether </w:t>
            </w:r>
            <w:r w:rsidRPr="008717EF">
              <w:t>a PCMH</w:t>
            </w:r>
            <w:r w:rsidRPr="009774BF">
              <w:t xml:space="preserve"> </w:t>
            </w:r>
            <w:r w:rsidR="00C2714B" w:rsidRPr="009774BF">
              <w:t xml:space="preserve">it’s </w:t>
            </w:r>
            <w:r w:rsidRPr="008717EF">
              <w:t>beneficiaries for Social Determinants of Health (SDOH).  For the 202</w:t>
            </w:r>
            <w:r w:rsidR="00C2714B" w:rsidRPr="002E2A0D">
              <w:t>3</w:t>
            </w:r>
            <w:r w:rsidRPr="002E2A0D">
              <w:t xml:space="preserve"> </w:t>
            </w:r>
            <w:r w:rsidRPr="008717EF">
              <w:t xml:space="preserve">performance period, not screening for SDOH will </w:t>
            </w:r>
            <w:r w:rsidRPr="003F67F4">
              <w:t>not cause</w:t>
            </w:r>
            <w:r w:rsidRPr="008717EF">
              <w:t xml:space="preserve"> a PCMH to not pass this activity. The activity is primarily for informational purposes. </w:t>
            </w:r>
          </w:p>
          <w:p w14:paraId="05EE5C75" w14:textId="1EC5F3E6" w:rsidR="00260B92" w:rsidRPr="008717EF" w:rsidRDefault="00260B92" w:rsidP="00260B92">
            <w:pPr>
              <w:ind w:left="360"/>
            </w:pPr>
            <w:r w:rsidRPr="008717EF">
              <w:t>A PCMH must respond to the following questions in the QCI provider portal:</w:t>
            </w:r>
          </w:p>
          <w:p w14:paraId="09E57FDF" w14:textId="196AABCB" w:rsidR="007A0D4E" w:rsidRPr="008717EF" w:rsidRDefault="007A0D4E" w:rsidP="00425466">
            <w:pPr>
              <w:pStyle w:val="ListParagraph"/>
              <w:numPr>
                <w:ilvl w:val="0"/>
                <w:numId w:val="32"/>
              </w:numPr>
            </w:pPr>
            <w:r w:rsidRPr="008717EF">
              <w:t>Does your practice screen for social determinants of health?</w:t>
            </w:r>
          </w:p>
          <w:p w14:paraId="2F1F916E" w14:textId="1C7FF0D9" w:rsidR="005D1139" w:rsidRPr="008717EF" w:rsidRDefault="005D1139" w:rsidP="00425466">
            <w:pPr>
              <w:pStyle w:val="ListParagraph"/>
              <w:numPr>
                <w:ilvl w:val="0"/>
                <w:numId w:val="32"/>
              </w:numPr>
            </w:pPr>
            <w:r w:rsidRPr="008717EF">
              <w:t>If yes,</w:t>
            </w:r>
            <w:r w:rsidR="00C2714B">
              <w:t xml:space="preserve"> </w:t>
            </w:r>
            <w:r w:rsidR="00C2714B" w:rsidRPr="002E2A0D">
              <w:t>what</w:t>
            </w:r>
            <w:r w:rsidRPr="002E2A0D">
              <w:t xml:space="preserve"> type of screening tool is used? Can you provide a copy of the tool? If yes, please upload a copy of the tool in the QCI provider portal</w:t>
            </w:r>
          </w:p>
          <w:p w14:paraId="48DAC37C" w14:textId="529494A6" w:rsidR="007A0D4E" w:rsidRPr="008717EF" w:rsidRDefault="007A0D4E" w:rsidP="00425466">
            <w:pPr>
              <w:pStyle w:val="ListParagraph"/>
              <w:numPr>
                <w:ilvl w:val="0"/>
                <w:numId w:val="32"/>
              </w:numPr>
            </w:pPr>
            <w:r w:rsidRPr="008717EF">
              <w:lastRenderedPageBreak/>
              <w:t>If yes to question 1, what is the process for analyzing the data received and how is it used?</w:t>
            </w:r>
          </w:p>
          <w:p w14:paraId="0B8A5972" w14:textId="089F1CF7" w:rsidR="007A0D4E" w:rsidRPr="008717EF" w:rsidRDefault="007A0D4E" w:rsidP="00425466">
            <w:pPr>
              <w:pStyle w:val="ListParagraph"/>
              <w:numPr>
                <w:ilvl w:val="0"/>
                <w:numId w:val="32"/>
              </w:numPr>
            </w:pPr>
            <w:r w:rsidRPr="008717EF">
              <w:t>If no to question 1, do you have plans to implement screening for social determinants of health?</w:t>
            </w:r>
          </w:p>
          <w:p w14:paraId="7C24F890" w14:textId="53E80989" w:rsidR="007A0D4E" w:rsidRPr="008717EF" w:rsidRDefault="007A0D4E" w:rsidP="00425466">
            <w:pPr>
              <w:pStyle w:val="ListParagraph"/>
              <w:numPr>
                <w:ilvl w:val="0"/>
                <w:numId w:val="32"/>
              </w:numPr>
            </w:pPr>
            <w:r w:rsidRPr="008717EF">
              <w:t xml:space="preserve">Practices are to document completion of this activity via the </w:t>
            </w:r>
            <w:r w:rsidR="001F56E0" w:rsidRPr="008717EF">
              <w:t xml:space="preserve">QCI </w:t>
            </w:r>
            <w:r w:rsidRPr="008717EF">
              <w:t>provider portal and attest that the described activity has been completed and that proper evidence of such can be provided upon request.</w:t>
            </w:r>
          </w:p>
        </w:tc>
      </w:tr>
    </w:tbl>
    <w:p w14:paraId="66314567" w14:textId="77777777" w:rsidR="007A0D4E" w:rsidRPr="008717EF" w:rsidRDefault="007A0D4E" w:rsidP="007A0D4E">
      <w:pPr>
        <w:rPr>
          <w:lang w:eastAsia="ja-JP"/>
        </w:rPr>
      </w:pPr>
    </w:p>
    <w:p w14:paraId="6F739C3A" w14:textId="77777777" w:rsidR="007A0D4E" w:rsidRPr="008717EF" w:rsidRDefault="007A0D4E" w:rsidP="003225AE">
      <w:pPr>
        <w:spacing w:line="360" w:lineRule="auto"/>
        <w:rPr>
          <w:lang w:eastAsia="ja-JP"/>
        </w:rPr>
      </w:pPr>
    </w:p>
    <w:p w14:paraId="01EA7A32" w14:textId="1A0CB00F" w:rsidR="002A6F78" w:rsidRPr="008717EF" w:rsidRDefault="002A6F78" w:rsidP="003225AE">
      <w:pPr>
        <w:spacing w:line="360" w:lineRule="auto"/>
        <w:rPr>
          <w:lang w:eastAsia="ja-JP"/>
        </w:rPr>
        <w:sectPr w:rsidR="002A6F78" w:rsidRPr="008717EF" w:rsidSect="00BB1ECF">
          <w:headerReference w:type="even" r:id="rId33"/>
          <w:headerReference w:type="default" r:id="rId34"/>
          <w:headerReference w:type="first" r:id="rId35"/>
          <w:pgSz w:w="15840" w:h="12240" w:orient="landscape"/>
          <w:pgMar w:top="1440" w:right="1440" w:bottom="1440" w:left="1440" w:header="720" w:footer="720" w:gutter="0"/>
          <w:cols w:space="720"/>
          <w:docGrid w:linePitch="360"/>
        </w:sectPr>
      </w:pPr>
    </w:p>
    <w:p w14:paraId="1B5E8C7C" w14:textId="3A2EEF37" w:rsidR="00A25996" w:rsidRPr="008717EF" w:rsidRDefault="00A25996" w:rsidP="003225AE">
      <w:pPr>
        <w:pStyle w:val="Heading2"/>
        <w:numPr>
          <w:ilvl w:val="0"/>
          <w:numId w:val="0"/>
        </w:numPr>
        <w:spacing w:before="120" w:line="360" w:lineRule="auto"/>
        <w:ind w:left="576" w:hanging="576"/>
      </w:pPr>
      <w:bookmarkStart w:id="72" w:name="_Low_Performance_Core_2"/>
      <w:bookmarkStart w:id="73" w:name="_Toc113888477"/>
      <w:bookmarkStart w:id="74" w:name="_Toc519170530"/>
      <w:bookmarkEnd w:id="72"/>
      <w:r w:rsidRPr="008717EF">
        <w:lastRenderedPageBreak/>
        <w:t xml:space="preserve">Low Performance Core Metrics for the </w:t>
      </w:r>
      <w:r w:rsidR="00C12216" w:rsidRPr="008717EF">
        <w:t>202</w:t>
      </w:r>
      <w:r w:rsidR="00C12216">
        <w:t>3</w:t>
      </w:r>
      <w:r w:rsidR="00C12216" w:rsidRPr="008717EF">
        <w:t xml:space="preserve"> </w:t>
      </w:r>
      <w:r w:rsidRPr="008717EF">
        <w:t>Performance Period</w:t>
      </w:r>
      <w:bookmarkEnd w:id="73"/>
    </w:p>
    <w:p w14:paraId="5A0AE2BD" w14:textId="75054558" w:rsidR="00A25996" w:rsidRPr="008717EF" w:rsidRDefault="00A25996" w:rsidP="00E82D74">
      <w:pPr>
        <w:rPr>
          <w:color w:val="1F497D"/>
        </w:rPr>
      </w:pPr>
      <w:r w:rsidRPr="008717EF">
        <w:t>DMS will assess the following metrics for practice support starting on the first day of the performance period in which the practice is enrolled in the PCMH program, through the full calendar year (January through December). To be eligible for continued practice support, PCMHs must meet the target rate stated below.  If a PCMH fails to achieve the stated target rate for the metric, then the PCMH must remediate performance to avoid suspension or termination of practice support.</w:t>
      </w:r>
      <w:r w:rsidR="00E82D74" w:rsidRPr="008717EF">
        <w:t xml:space="preserve"> If the PCMH’s denominator for a particular metric is less than the 25 minimum attributed beneficiaries, the PCMH will not </w:t>
      </w:r>
      <w:r w:rsidR="00E82D74" w:rsidRPr="009774BF">
        <w:t xml:space="preserve">be </w:t>
      </w:r>
      <w:r w:rsidR="003F67F4" w:rsidRPr="009774BF">
        <w:t xml:space="preserve">counted in this </w:t>
      </w:r>
      <w:r w:rsidR="00E82D74" w:rsidRPr="009774BF">
        <w:t xml:space="preserve">metric. </w:t>
      </w:r>
      <w:r w:rsidR="00E82D74" w:rsidRPr="008717EF">
        <w:t>If all of a PCMH’s core-metrics denominators are less than the 25 minimum attributed beneficiaries, the PCMH will not be considered for remediation at all (i.e. not penalized at all).</w:t>
      </w:r>
    </w:p>
    <w:tbl>
      <w:tblPr>
        <w:tblStyle w:val="TableGrid"/>
        <w:tblW w:w="0" w:type="auto"/>
        <w:tblCellMar>
          <w:left w:w="72" w:type="dxa"/>
          <w:right w:w="72" w:type="dxa"/>
        </w:tblCellMar>
        <w:tblLook w:val="04A0" w:firstRow="1" w:lastRow="0" w:firstColumn="1" w:lastColumn="0" w:noHBand="0" w:noVBand="1"/>
      </w:tblPr>
      <w:tblGrid>
        <w:gridCol w:w="1888"/>
        <w:gridCol w:w="3041"/>
        <w:gridCol w:w="2966"/>
        <w:gridCol w:w="3765"/>
        <w:gridCol w:w="1290"/>
      </w:tblGrid>
      <w:tr w:rsidR="0020562D" w:rsidRPr="008717EF" w14:paraId="468CB405" w14:textId="2766AA6D" w:rsidTr="00C815CB">
        <w:tc>
          <w:tcPr>
            <w:tcW w:w="1888" w:type="dxa"/>
            <w:tcBorders>
              <w:top w:val="single" w:sz="4" w:space="0" w:color="auto"/>
              <w:left w:val="single" w:sz="4" w:space="0" w:color="auto"/>
              <w:bottom w:val="single" w:sz="4" w:space="0" w:color="auto"/>
              <w:right w:val="single" w:sz="4" w:space="0" w:color="auto"/>
            </w:tcBorders>
            <w:shd w:val="clear" w:color="auto" w:fill="002960"/>
            <w:vAlign w:val="center"/>
          </w:tcPr>
          <w:p w14:paraId="72890590" w14:textId="77777777" w:rsidR="0020562D" w:rsidRPr="008717EF" w:rsidRDefault="0020562D" w:rsidP="003225AE">
            <w:pPr>
              <w:pStyle w:val="TableHeading"/>
              <w:keepLines/>
              <w:spacing w:before="120" w:after="120" w:line="360" w:lineRule="auto"/>
            </w:pPr>
            <w:r w:rsidRPr="008717EF">
              <w:t>Metric</w:t>
            </w:r>
          </w:p>
        </w:tc>
        <w:tc>
          <w:tcPr>
            <w:tcW w:w="3041" w:type="dxa"/>
            <w:tcBorders>
              <w:top w:val="single" w:sz="4" w:space="0" w:color="auto"/>
              <w:left w:val="single" w:sz="4" w:space="0" w:color="auto"/>
              <w:bottom w:val="single" w:sz="4" w:space="0" w:color="auto"/>
              <w:right w:val="single" w:sz="4" w:space="0" w:color="auto"/>
            </w:tcBorders>
            <w:shd w:val="clear" w:color="auto" w:fill="002960"/>
            <w:vAlign w:val="center"/>
          </w:tcPr>
          <w:p w14:paraId="0DA7490C" w14:textId="77777777" w:rsidR="0020562D" w:rsidRPr="008717EF" w:rsidRDefault="0020562D" w:rsidP="003225AE">
            <w:pPr>
              <w:pStyle w:val="TableHeading"/>
              <w:keepLines/>
              <w:spacing w:before="120" w:after="120" w:line="360" w:lineRule="auto"/>
            </w:pPr>
            <w:r w:rsidRPr="008717EF">
              <w:t>Description</w:t>
            </w:r>
          </w:p>
        </w:tc>
        <w:tc>
          <w:tcPr>
            <w:tcW w:w="2966" w:type="dxa"/>
            <w:tcBorders>
              <w:top w:val="single" w:sz="4" w:space="0" w:color="auto"/>
              <w:left w:val="single" w:sz="4" w:space="0" w:color="auto"/>
              <w:bottom w:val="single" w:sz="4" w:space="0" w:color="auto"/>
              <w:right w:val="single" w:sz="4" w:space="0" w:color="auto"/>
            </w:tcBorders>
            <w:shd w:val="clear" w:color="auto" w:fill="002960"/>
            <w:vAlign w:val="center"/>
          </w:tcPr>
          <w:p w14:paraId="65A9FBD7" w14:textId="77777777" w:rsidR="0020562D" w:rsidRPr="008717EF" w:rsidRDefault="0020562D" w:rsidP="003225AE">
            <w:pPr>
              <w:pStyle w:val="TableHeading"/>
              <w:keepLines/>
              <w:spacing w:before="120" w:after="120" w:line="360" w:lineRule="auto"/>
            </w:pPr>
            <w:r w:rsidRPr="008717EF">
              <w:t>Target Rate</w:t>
            </w:r>
          </w:p>
        </w:tc>
        <w:tc>
          <w:tcPr>
            <w:tcW w:w="3765" w:type="dxa"/>
            <w:tcBorders>
              <w:top w:val="single" w:sz="4" w:space="0" w:color="auto"/>
              <w:left w:val="single" w:sz="4" w:space="0" w:color="auto"/>
              <w:bottom w:val="single" w:sz="4" w:space="0" w:color="auto"/>
              <w:right w:val="single" w:sz="4" w:space="0" w:color="auto"/>
            </w:tcBorders>
            <w:shd w:val="clear" w:color="auto" w:fill="002960"/>
            <w:vAlign w:val="center"/>
          </w:tcPr>
          <w:p w14:paraId="452F66EF" w14:textId="77777777" w:rsidR="0020562D" w:rsidRPr="008717EF" w:rsidRDefault="0020562D" w:rsidP="003225AE">
            <w:pPr>
              <w:pStyle w:val="TableHeading"/>
              <w:keepLines/>
              <w:spacing w:before="120" w:after="120" w:line="360" w:lineRule="auto"/>
            </w:pPr>
            <w:r w:rsidRPr="008717EF">
              <w:t>Condition for Remediation</w:t>
            </w:r>
          </w:p>
        </w:tc>
        <w:tc>
          <w:tcPr>
            <w:tcW w:w="1290" w:type="dxa"/>
            <w:tcBorders>
              <w:top w:val="single" w:sz="4" w:space="0" w:color="auto"/>
              <w:left w:val="single" w:sz="4" w:space="0" w:color="auto"/>
              <w:bottom w:val="single" w:sz="4" w:space="0" w:color="auto"/>
              <w:right w:val="single" w:sz="4" w:space="0" w:color="auto"/>
            </w:tcBorders>
            <w:shd w:val="clear" w:color="auto" w:fill="002960"/>
          </w:tcPr>
          <w:p w14:paraId="28A4DCE8" w14:textId="60486841" w:rsidR="0020562D" w:rsidRPr="008717EF" w:rsidRDefault="0020562D" w:rsidP="003225AE">
            <w:pPr>
              <w:pStyle w:val="TableHeading"/>
              <w:keepLines/>
              <w:spacing w:before="120" w:after="120" w:line="360" w:lineRule="auto"/>
            </w:pPr>
            <w:r w:rsidRPr="008717EF">
              <w:t>Minimum Attributed Beneficiaries</w:t>
            </w:r>
          </w:p>
        </w:tc>
      </w:tr>
      <w:tr w:rsidR="00FB087B" w:rsidRPr="008717EF" w14:paraId="757DD822" w14:textId="77777777" w:rsidTr="00C815CB">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2B6C8AF1" w14:textId="56AB9B50" w:rsidR="00FB087B" w:rsidRPr="008717EF" w:rsidRDefault="00FB087B" w:rsidP="003225AE">
            <w:pPr>
              <w:spacing w:line="360" w:lineRule="auto"/>
            </w:pPr>
            <w:r w:rsidRPr="008717EF">
              <w:t>Core Metric 1:</w:t>
            </w:r>
            <w:r w:rsidR="00DF2EE1" w:rsidRPr="008717EF">
              <w:t xml:space="preserve"> Oral Antibiotic Utilization (Low Performance)</w:t>
            </w:r>
          </w:p>
        </w:tc>
        <w:tc>
          <w:tcPr>
            <w:tcW w:w="3041" w:type="dxa"/>
            <w:tcBorders>
              <w:top w:val="single" w:sz="4" w:space="0" w:color="auto"/>
              <w:left w:val="single" w:sz="4" w:space="0" w:color="auto"/>
              <w:bottom w:val="single" w:sz="4" w:space="0" w:color="auto"/>
              <w:right w:val="single" w:sz="4" w:space="0" w:color="auto"/>
            </w:tcBorders>
          </w:tcPr>
          <w:p w14:paraId="7E1B175D" w14:textId="6599169D" w:rsidR="00FB087B" w:rsidRPr="008717EF" w:rsidRDefault="00777078" w:rsidP="003225AE">
            <w:pPr>
              <w:spacing w:line="360" w:lineRule="auto"/>
            </w:pPr>
            <w:r w:rsidRPr="008717EF">
              <w:t>The purpose of the oral antibiotic utilization metric is to identify low performers of oral antibiotic utilization. The metric</w:t>
            </w:r>
            <w:r w:rsidR="00253635" w:rsidRPr="008717EF">
              <w:t xml:space="preserve"> measures the number of oral antibiotic prescriptions per 1,000 attributed beneficiaries during the measurement period.</w:t>
            </w:r>
            <w:r w:rsidRPr="008717EF">
              <w:t xml:space="preserve"> </w:t>
            </w:r>
          </w:p>
        </w:tc>
        <w:tc>
          <w:tcPr>
            <w:tcW w:w="2966" w:type="dxa"/>
            <w:tcBorders>
              <w:top w:val="single" w:sz="4" w:space="0" w:color="auto"/>
              <w:left w:val="single" w:sz="4" w:space="0" w:color="auto"/>
              <w:bottom w:val="single" w:sz="4" w:space="0" w:color="auto"/>
              <w:right w:val="single" w:sz="4" w:space="0" w:color="auto"/>
            </w:tcBorders>
          </w:tcPr>
          <w:p w14:paraId="705C467D" w14:textId="377883E3" w:rsidR="00FB087B" w:rsidRPr="008717EF" w:rsidRDefault="006211FB" w:rsidP="003225AE">
            <w:pPr>
              <w:spacing w:line="360" w:lineRule="auto"/>
            </w:pPr>
            <w:r w:rsidRPr="00C12216">
              <w:rPr>
                <w:highlight w:val="yellow"/>
              </w:rPr>
              <w:t>1,350</w:t>
            </w:r>
            <w:r>
              <w:t xml:space="preserve"> </w:t>
            </w:r>
            <w:r w:rsidR="00823000" w:rsidRPr="008717EF">
              <w:t xml:space="preserve">oral antibiotic prescriptions </w:t>
            </w:r>
            <w:r w:rsidR="00E87800" w:rsidRPr="008717EF">
              <w:t>or less</w:t>
            </w:r>
            <w:r w:rsidR="00253635" w:rsidRPr="008717EF">
              <w:t xml:space="preserve"> </w:t>
            </w:r>
            <w:r w:rsidR="00E87800" w:rsidRPr="008717EF">
              <w:t>per 1</w:t>
            </w:r>
            <w:r w:rsidR="00491C9C" w:rsidRPr="008717EF">
              <w:t>,</w:t>
            </w:r>
            <w:r w:rsidR="00E87800" w:rsidRPr="008717EF">
              <w:t>000</w:t>
            </w:r>
            <w:r w:rsidR="000D7983" w:rsidRPr="008717EF">
              <w:t xml:space="preserve"> </w:t>
            </w:r>
            <w:r w:rsidR="00491C9C" w:rsidRPr="008717EF">
              <w:t>attributed beneficiaries</w:t>
            </w:r>
          </w:p>
        </w:tc>
        <w:tc>
          <w:tcPr>
            <w:tcW w:w="3765" w:type="dxa"/>
            <w:tcBorders>
              <w:top w:val="single" w:sz="4" w:space="0" w:color="auto"/>
              <w:left w:val="single" w:sz="4" w:space="0" w:color="auto"/>
              <w:bottom w:val="single" w:sz="4" w:space="0" w:color="auto"/>
              <w:right w:val="single" w:sz="4" w:space="0" w:color="auto"/>
            </w:tcBorders>
          </w:tcPr>
          <w:p w14:paraId="1F09256B" w14:textId="25686FFC" w:rsidR="00FB087B" w:rsidRPr="008717EF" w:rsidRDefault="00253635" w:rsidP="003225AE">
            <w:pPr>
              <w:spacing w:line="360" w:lineRule="auto"/>
            </w:pPr>
            <w:r w:rsidRPr="008717EF">
              <w:t xml:space="preserve">A PCMH will be placed in remediation for Core Metric 1 (Oral Antibiotic Utilization) </w:t>
            </w:r>
            <w:r w:rsidR="003711A5" w:rsidRPr="008717EF">
              <w:t xml:space="preserve">if </w:t>
            </w:r>
            <w:r w:rsidR="000249D0" w:rsidRPr="008717EF">
              <w:t xml:space="preserve">its </w:t>
            </w:r>
            <w:r w:rsidR="003711A5" w:rsidRPr="008717EF">
              <w:t xml:space="preserve">rate per 1000 patient panel antibiotic utilization is greater than </w:t>
            </w:r>
            <w:r w:rsidR="006211FB" w:rsidRPr="00C12216">
              <w:rPr>
                <w:highlight w:val="yellow"/>
              </w:rPr>
              <w:t>1,350</w:t>
            </w:r>
            <w:r w:rsidR="003711A5" w:rsidRPr="008717EF">
              <w:t>.</w:t>
            </w:r>
          </w:p>
        </w:tc>
        <w:tc>
          <w:tcPr>
            <w:tcW w:w="1290" w:type="dxa"/>
            <w:tcBorders>
              <w:top w:val="single" w:sz="4" w:space="0" w:color="auto"/>
              <w:left w:val="single" w:sz="4" w:space="0" w:color="auto"/>
              <w:bottom w:val="single" w:sz="4" w:space="0" w:color="auto"/>
              <w:right w:val="single" w:sz="4" w:space="0" w:color="auto"/>
            </w:tcBorders>
          </w:tcPr>
          <w:p w14:paraId="3CED4506" w14:textId="7BC069A3" w:rsidR="00FB087B" w:rsidRPr="008717EF" w:rsidRDefault="006426A2" w:rsidP="003225AE">
            <w:pPr>
              <w:spacing w:line="360" w:lineRule="auto"/>
              <w:jc w:val="center"/>
              <w:rPr>
                <w:rFonts w:cs="Arial"/>
              </w:rPr>
            </w:pPr>
            <w:r w:rsidRPr="008717EF">
              <w:rPr>
                <w:rFonts w:cs="Arial"/>
              </w:rPr>
              <w:t xml:space="preserve">≥ </w:t>
            </w:r>
            <w:r w:rsidRPr="008717EF">
              <w:t>25</w:t>
            </w:r>
          </w:p>
        </w:tc>
      </w:tr>
      <w:tr w:rsidR="0020562D" w:rsidRPr="008717EF" w14:paraId="2A07A52F" w14:textId="57BB8ACB" w:rsidTr="00C815CB">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1C73DB58" w14:textId="73D52FB5" w:rsidR="0020562D" w:rsidRPr="008717EF" w:rsidRDefault="0020562D" w:rsidP="003225AE">
            <w:pPr>
              <w:spacing w:line="360" w:lineRule="auto"/>
            </w:pPr>
            <w:r w:rsidRPr="008717EF">
              <w:t xml:space="preserve">Core Metric </w:t>
            </w:r>
            <w:r w:rsidR="00FB087B" w:rsidRPr="008717EF">
              <w:t>2</w:t>
            </w:r>
            <w:r w:rsidRPr="008717EF">
              <w:t xml:space="preserve">: </w:t>
            </w:r>
            <w:r w:rsidR="00D1755F" w:rsidRPr="008717EF">
              <w:t xml:space="preserve">Well-Child Visits in the First 15 Months of Life </w:t>
            </w:r>
            <w:r w:rsidR="004F2F5E" w:rsidRPr="008717EF">
              <w:t>(</w:t>
            </w:r>
            <w:r w:rsidR="00D1755F" w:rsidRPr="008717EF">
              <w:t xml:space="preserve">0 to </w:t>
            </w:r>
            <w:r w:rsidR="00EB329F" w:rsidRPr="008717EF">
              <w:t>2</w:t>
            </w:r>
            <w:r w:rsidR="00D1755F" w:rsidRPr="008717EF">
              <w:t xml:space="preserve"> </w:t>
            </w:r>
            <w:r w:rsidR="004F2F5E" w:rsidRPr="008717EF">
              <w:t>v</w:t>
            </w:r>
            <w:r w:rsidR="00D1755F" w:rsidRPr="008717EF">
              <w:t>isit</w:t>
            </w:r>
            <w:r w:rsidR="00D90D9B" w:rsidRPr="008717EF">
              <w:t>s</w:t>
            </w:r>
            <w:r w:rsidR="004F2F5E" w:rsidRPr="008717EF">
              <w:t>)</w:t>
            </w:r>
            <w:r w:rsidR="00F129C4" w:rsidRPr="008717EF">
              <w:t xml:space="preserve"> (Low Performance)</w:t>
            </w:r>
          </w:p>
          <w:p w14:paraId="23B27D63" w14:textId="77777777" w:rsidR="00397D5B" w:rsidRPr="008717EF" w:rsidRDefault="00397D5B" w:rsidP="003225AE">
            <w:pPr>
              <w:spacing w:line="360" w:lineRule="auto"/>
            </w:pPr>
          </w:p>
          <w:p w14:paraId="1EE2EB73" w14:textId="0ECCDD52" w:rsidR="00397D5B" w:rsidRPr="008717EF" w:rsidRDefault="00397D5B" w:rsidP="003225AE">
            <w:pPr>
              <w:spacing w:line="360" w:lineRule="auto"/>
              <w:rPr>
                <w:i/>
              </w:rPr>
            </w:pPr>
            <w:r w:rsidRPr="008717EF">
              <w:rPr>
                <w:i/>
              </w:rPr>
              <w:lastRenderedPageBreak/>
              <w:t>*</w:t>
            </w:r>
            <w:r w:rsidRPr="008717EF">
              <w:rPr>
                <w:sz w:val="16"/>
                <w:szCs w:val="16"/>
              </w:rPr>
              <w:t>Claims-based</w:t>
            </w:r>
          </w:p>
        </w:tc>
        <w:tc>
          <w:tcPr>
            <w:tcW w:w="3041" w:type="dxa"/>
            <w:tcBorders>
              <w:top w:val="single" w:sz="4" w:space="0" w:color="auto"/>
              <w:left w:val="single" w:sz="4" w:space="0" w:color="auto"/>
              <w:bottom w:val="single" w:sz="4" w:space="0" w:color="auto"/>
              <w:right w:val="single" w:sz="4" w:space="0" w:color="auto"/>
            </w:tcBorders>
          </w:tcPr>
          <w:p w14:paraId="026F6722" w14:textId="544F422A" w:rsidR="0020562D" w:rsidRPr="008717EF" w:rsidRDefault="0020562D" w:rsidP="003225AE">
            <w:pPr>
              <w:spacing w:line="360" w:lineRule="auto"/>
            </w:pPr>
            <w:r w:rsidRPr="008717EF">
              <w:lastRenderedPageBreak/>
              <w:t xml:space="preserve">The purpose of the </w:t>
            </w:r>
            <w:r w:rsidR="00D1755F" w:rsidRPr="008717EF">
              <w:t>well-child visits</w:t>
            </w:r>
            <w:r w:rsidRPr="008717EF">
              <w:t xml:space="preserve"> core metric is to identify low performers of infant wellness visits. The metric me</w:t>
            </w:r>
            <w:r w:rsidR="006328CC" w:rsidRPr="008717EF">
              <w:t>asures the percentage of beneficiaries</w:t>
            </w:r>
            <w:r w:rsidRPr="008717EF">
              <w:t xml:space="preserve"> who turned 15 months old during the </w:t>
            </w:r>
            <w:r w:rsidRPr="008717EF">
              <w:lastRenderedPageBreak/>
              <w:t xml:space="preserve">performance period who only received </w:t>
            </w:r>
            <w:r w:rsidR="00EB329F" w:rsidRPr="008717EF">
              <w:t>two</w:t>
            </w:r>
            <w:r w:rsidR="003711A5" w:rsidRPr="008717EF">
              <w:t xml:space="preserve"> or </w:t>
            </w:r>
            <w:r w:rsidR="00F3248E" w:rsidRPr="008717EF">
              <w:t>fewer</w:t>
            </w:r>
            <w:r w:rsidRPr="008717EF">
              <w:t xml:space="preserve"> wellness visit</w:t>
            </w:r>
            <w:r w:rsidR="00F3248E" w:rsidRPr="008717EF">
              <w:t>s</w:t>
            </w:r>
            <w:r w:rsidRPr="008717EF">
              <w:t xml:space="preserve"> in their first 15 months (0 – 15 months)</w:t>
            </w:r>
          </w:p>
        </w:tc>
        <w:tc>
          <w:tcPr>
            <w:tcW w:w="2966" w:type="dxa"/>
            <w:tcBorders>
              <w:top w:val="single" w:sz="4" w:space="0" w:color="auto"/>
              <w:left w:val="single" w:sz="4" w:space="0" w:color="auto"/>
              <w:bottom w:val="single" w:sz="4" w:space="0" w:color="auto"/>
              <w:right w:val="single" w:sz="4" w:space="0" w:color="auto"/>
            </w:tcBorders>
          </w:tcPr>
          <w:p w14:paraId="06D43A5A" w14:textId="329CEC31" w:rsidR="0020562D" w:rsidRPr="008717EF" w:rsidRDefault="009645FC" w:rsidP="003225AE">
            <w:pPr>
              <w:spacing w:line="360" w:lineRule="auto"/>
            </w:pPr>
            <w:r w:rsidRPr="00C12216">
              <w:rPr>
                <w:highlight w:val="yellow"/>
              </w:rPr>
              <w:lastRenderedPageBreak/>
              <w:t>18</w:t>
            </w:r>
            <w:r w:rsidR="0020562D" w:rsidRPr="00C12216">
              <w:rPr>
                <w:highlight w:val="yellow"/>
              </w:rPr>
              <w:t>%</w:t>
            </w:r>
            <w:r w:rsidR="0020562D" w:rsidRPr="008717EF">
              <w:t xml:space="preserve"> or less of </w:t>
            </w:r>
            <w:r w:rsidR="00004C9C" w:rsidRPr="008717EF">
              <w:t>attributed beneficiaries</w:t>
            </w:r>
            <w:r w:rsidR="0020562D" w:rsidRPr="008717EF">
              <w:t xml:space="preserve">, ages 0-15 months, having </w:t>
            </w:r>
            <w:r w:rsidR="00EB329F" w:rsidRPr="008717EF">
              <w:t>two</w:t>
            </w:r>
            <w:r w:rsidR="003711A5" w:rsidRPr="008717EF">
              <w:t xml:space="preserve"> or </w:t>
            </w:r>
            <w:r w:rsidR="00673DD3" w:rsidRPr="008717EF">
              <w:t>fewer</w:t>
            </w:r>
            <w:r w:rsidR="0020562D" w:rsidRPr="008717EF">
              <w:t xml:space="preserve"> wellness visit</w:t>
            </w:r>
            <w:r w:rsidR="00673DD3" w:rsidRPr="008717EF">
              <w:t>s</w:t>
            </w:r>
            <w:r w:rsidR="00EC7FAA" w:rsidRPr="008717EF">
              <w:t>.</w:t>
            </w:r>
          </w:p>
        </w:tc>
        <w:tc>
          <w:tcPr>
            <w:tcW w:w="3765" w:type="dxa"/>
            <w:tcBorders>
              <w:top w:val="single" w:sz="4" w:space="0" w:color="auto"/>
              <w:left w:val="single" w:sz="4" w:space="0" w:color="auto"/>
              <w:bottom w:val="single" w:sz="4" w:space="0" w:color="auto"/>
              <w:right w:val="single" w:sz="4" w:space="0" w:color="auto"/>
            </w:tcBorders>
          </w:tcPr>
          <w:p w14:paraId="16CF4E9D" w14:textId="491DDEE1" w:rsidR="0020562D" w:rsidRPr="008717EF" w:rsidRDefault="0020562D" w:rsidP="003225AE">
            <w:pPr>
              <w:spacing w:line="360" w:lineRule="auto"/>
            </w:pPr>
            <w:r w:rsidRPr="008717EF">
              <w:t xml:space="preserve">A PCMH will be placed in remediation for Core Metric </w:t>
            </w:r>
            <w:r w:rsidR="00253635" w:rsidRPr="008717EF">
              <w:t>2</w:t>
            </w:r>
            <w:r w:rsidRPr="008717EF">
              <w:t xml:space="preserve"> (</w:t>
            </w:r>
            <w:r w:rsidR="00D1755F" w:rsidRPr="008717EF">
              <w:t>Well-Child Visits in the First 15 Months of Life</w:t>
            </w:r>
            <w:r w:rsidR="0032776F" w:rsidRPr="008717EF">
              <w:t xml:space="preserve"> (0-</w:t>
            </w:r>
            <w:r w:rsidR="003711A5" w:rsidRPr="008717EF">
              <w:t>2</w:t>
            </w:r>
            <w:r w:rsidR="0032776F" w:rsidRPr="008717EF">
              <w:t xml:space="preserve"> Visits)</w:t>
            </w:r>
            <w:r w:rsidRPr="008717EF">
              <w:t xml:space="preserve">) tracked </w:t>
            </w:r>
            <w:r w:rsidR="003F5B72" w:rsidRPr="008717EF">
              <w:t>for Practice Support if more than</w:t>
            </w:r>
            <w:r w:rsidRPr="008717EF">
              <w:t xml:space="preserve"> </w:t>
            </w:r>
            <w:r w:rsidR="009645FC" w:rsidRPr="00C12216">
              <w:rPr>
                <w:highlight w:val="yellow"/>
              </w:rPr>
              <w:t>18</w:t>
            </w:r>
            <w:r w:rsidRPr="00C12216">
              <w:rPr>
                <w:highlight w:val="yellow"/>
              </w:rPr>
              <w:t>%</w:t>
            </w:r>
            <w:r w:rsidRPr="008717EF">
              <w:t xml:space="preserve"> of </w:t>
            </w:r>
            <w:r w:rsidR="00004C9C" w:rsidRPr="008717EF">
              <w:t xml:space="preserve">attributed beneficiaries </w:t>
            </w:r>
            <w:r w:rsidRPr="008717EF">
              <w:t xml:space="preserve">(0 – 15 months) have </w:t>
            </w:r>
            <w:r w:rsidR="003711A5" w:rsidRPr="008717EF">
              <w:t xml:space="preserve">2 or </w:t>
            </w:r>
            <w:r w:rsidR="00673DD3" w:rsidRPr="008717EF">
              <w:t>fewer</w:t>
            </w:r>
            <w:r w:rsidRPr="008717EF">
              <w:t xml:space="preserve"> wellness visits AND if the PCMH does not meet the </w:t>
            </w:r>
            <w:r w:rsidRPr="008717EF">
              <w:lastRenderedPageBreak/>
              <w:t xml:space="preserve">target of </w:t>
            </w:r>
            <w:r w:rsidR="003711A5" w:rsidRPr="008717EF">
              <w:t>56</w:t>
            </w:r>
            <w:r w:rsidRPr="008717EF">
              <w:t>% or greater for Quality Metric 2 (</w:t>
            </w:r>
            <w:r w:rsidR="00D90D9B" w:rsidRPr="008717EF">
              <w:t>Well-Child Visits in the First 15 Months of Life (</w:t>
            </w:r>
            <w:r w:rsidR="003711A5" w:rsidRPr="008717EF">
              <w:t>6</w:t>
            </w:r>
            <w:r w:rsidR="00D90D9B" w:rsidRPr="008717EF">
              <w:t>+ Visits)</w:t>
            </w:r>
            <w:r w:rsidRPr="008717EF">
              <w:t>)</w:t>
            </w:r>
          </w:p>
        </w:tc>
        <w:tc>
          <w:tcPr>
            <w:tcW w:w="1290" w:type="dxa"/>
            <w:tcBorders>
              <w:top w:val="single" w:sz="4" w:space="0" w:color="auto"/>
              <w:left w:val="single" w:sz="4" w:space="0" w:color="auto"/>
              <w:bottom w:val="single" w:sz="4" w:space="0" w:color="auto"/>
              <w:right w:val="single" w:sz="4" w:space="0" w:color="auto"/>
            </w:tcBorders>
          </w:tcPr>
          <w:p w14:paraId="50C877C5" w14:textId="16603AFD" w:rsidR="0020562D" w:rsidRPr="008717EF" w:rsidRDefault="00B64983" w:rsidP="003225AE">
            <w:pPr>
              <w:spacing w:line="360" w:lineRule="auto"/>
              <w:jc w:val="center"/>
            </w:pPr>
            <w:r w:rsidRPr="008717EF">
              <w:rPr>
                <w:rFonts w:cs="Arial"/>
              </w:rPr>
              <w:lastRenderedPageBreak/>
              <w:t xml:space="preserve">≥ </w:t>
            </w:r>
            <w:r w:rsidR="0020562D" w:rsidRPr="008717EF">
              <w:t>25</w:t>
            </w:r>
          </w:p>
        </w:tc>
      </w:tr>
      <w:tr w:rsidR="007805FC" w:rsidRPr="008717EF" w14:paraId="29594E75" w14:textId="77777777" w:rsidTr="00C815CB">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307BAF77" w14:textId="547D65A1" w:rsidR="007805FC" w:rsidRPr="008717EF" w:rsidRDefault="007805FC" w:rsidP="003225AE">
            <w:pPr>
              <w:spacing w:line="360" w:lineRule="auto"/>
            </w:pPr>
            <w:r w:rsidRPr="008717EF">
              <w:t xml:space="preserve">Core Metric 3: </w:t>
            </w:r>
            <w:r w:rsidR="00765DCA" w:rsidRPr="008717EF">
              <w:t>PCP Visits for High Priority Beneficiaries</w:t>
            </w:r>
            <w:r w:rsidR="007E7C62" w:rsidRPr="008717EF">
              <w:t xml:space="preserve"> (Low Performance)</w:t>
            </w:r>
          </w:p>
          <w:p w14:paraId="140726F3" w14:textId="77777777" w:rsidR="007805FC" w:rsidRPr="008717EF" w:rsidRDefault="007805FC" w:rsidP="003225AE">
            <w:pPr>
              <w:spacing w:line="360" w:lineRule="auto"/>
            </w:pPr>
          </w:p>
          <w:p w14:paraId="3C0D02E2" w14:textId="716DED06" w:rsidR="007805FC" w:rsidRPr="008717EF" w:rsidRDefault="007805FC" w:rsidP="003225AE">
            <w:pPr>
              <w:spacing w:line="360" w:lineRule="auto"/>
            </w:pPr>
            <w:r w:rsidRPr="008717EF">
              <w:rPr>
                <w:i/>
              </w:rPr>
              <w:t>*</w:t>
            </w:r>
            <w:r w:rsidRPr="008717EF">
              <w:rPr>
                <w:sz w:val="16"/>
                <w:szCs w:val="16"/>
              </w:rPr>
              <w:t>Claims-based</w:t>
            </w:r>
          </w:p>
        </w:tc>
        <w:tc>
          <w:tcPr>
            <w:tcW w:w="3041" w:type="dxa"/>
            <w:tcBorders>
              <w:top w:val="single" w:sz="4" w:space="0" w:color="auto"/>
              <w:left w:val="single" w:sz="4" w:space="0" w:color="auto"/>
              <w:bottom w:val="single" w:sz="4" w:space="0" w:color="auto"/>
              <w:right w:val="single" w:sz="4" w:space="0" w:color="auto"/>
            </w:tcBorders>
          </w:tcPr>
          <w:p w14:paraId="5A345DA2" w14:textId="3A510F13" w:rsidR="007805FC" w:rsidRPr="008717EF" w:rsidRDefault="007805FC" w:rsidP="003225AE">
            <w:pPr>
              <w:spacing w:line="360" w:lineRule="auto"/>
            </w:pPr>
            <w:r w:rsidRPr="008717EF">
              <w:t xml:space="preserve">The purpose of the </w:t>
            </w:r>
            <w:r w:rsidR="00765DCA" w:rsidRPr="008717EF">
              <w:t xml:space="preserve">PCP visits for </w:t>
            </w:r>
            <w:r w:rsidR="00F2199B" w:rsidRPr="008717EF">
              <w:t xml:space="preserve">high priority </w:t>
            </w:r>
            <w:r w:rsidR="00765DCA" w:rsidRPr="008717EF">
              <w:t>beneficiaries</w:t>
            </w:r>
            <w:r w:rsidR="00CF4E44" w:rsidRPr="008717EF">
              <w:t xml:space="preserve"> c</w:t>
            </w:r>
            <w:r w:rsidRPr="008717EF">
              <w:t xml:space="preserve">ore metric is to identify low performers of </w:t>
            </w:r>
            <w:r w:rsidR="00CF4E44" w:rsidRPr="008717EF">
              <w:t>PCP</w:t>
            </w:r>
            <w:r w:rsidRPr="008717EF">
              <w:t xml:space="preserve"> visits</w:t>
            </w:r>
            <w:r w:rsidR="00234FEF" w:rsidRPr="008717EF">
              <w:t xml:space="preserve"> with attributed PCMH</w:t>
            </w:r>
            <w:r w:rsidRPr="008717EF">
              <w:t xml:space="preserve">. The metric measures the </w:t>
            </w:r>
            <w:r w:rsidR="00D237E7" w:rsidRPr="008717EF">
              <w:t xml:space="preserve">percentage of a practice’s high priority beneficiaries who </w:t>
            </w:r>
            <w:r w:rsidR="00765DCA" w:rsidRPr="008717EF">
              <w:t>were</w:t>
            </w:r>
            <w:r w:rsidR="00D237E7" w:rsidRPr="008717EF">
              <w:t xml:space="preserve"> seen by their PCMH at least twice </w:t>
            </w:r>
            <w:r w:rsidR="00765DCA" w:rsidRPr="008717EF">
              <w:t>during the measurement year</w:t>
            </w:r>
            <w:r w:rsidR="00D237E7" w:rsidRPr="008717EF">
              <w:t>.</w:t>
            </w:r>
          </w:p>
        </w:tc>
        <w:tc>
          <w:tcPr>
            <w:tcW w:w="2966" w:type="dxa"/>
            <w:tcBorders>
              <w:top w:val="single" w:sz="4" w:space="0" w:color="auto"/>
              <w:left w:val="single" w:sz="4" w:space="0" w:color="auto"/>
              <w:bottom w:val="single" w:sz="4" w:space="0" w:color="auto"/>
              <w:right w:val="single" w:sz="4" w:space="0" w:color="auto"/>
            </w:tcBorders>
          </w:tcPr>
          <w:p w14:paraId="25F8FF46" w14:textId="19FC37BB" w:rsidR="007805FC" w:rsidRPr="008717EF" w:rsidRDefault="00FC5223" w:rsidP="003225AE">
            <w:pPr>
              <w:spacing w:line="360" w:lineRule="auto"/>
            </w:pPr>
            <w:r w:rsidRPr="008717EF">
              <w:t xml:space="preserve">At least </w:t>
            </w:r>
            <w:r w:rsidR="009645FC" w:rsidRPr="00C12216">
              <w:rPr>
                <w:highlight w:val="yellow"/>
              </w:rPr>
              <w:t>67</w:t>
            </w:r>
            <w:r w:rsidRPr="00C12216">
              <w:rPr>
                <w:highlight w:val="yellow"/>
              </w:rPr>
              <w:t>%</w:t>
            </w:r>
            <w:r w:rsidRPr="008717EF">
              <w:t xml:space="preserve"> of the </w:t>
            </w:r>
            <w:r w:rsidR="00EB3879" w:rsidRPr="008717EF">
              <w:t xml:space="preserve">practice’s </w:t>
            </w:r>
            <w:r w:rsidRPr="008717EF">
              <w:t>high priority beneficiaries with 2 of the selected visit types and criteria with their attributed PCMH.</w:t>
            </w:r>
          </w:p>
        </w:tc>
        <w:tc>
          <w:tcPr>
            <w:tcW w:w="3765" w:type="dxa"/>
            <w:tcBorders>
              <w:top w:val="single" w:sz="4" w:space="0" w:color="auto"/>
              <w:left w:val="single" w:sz="4" w:space="0" w:color="auto"/>
              <w:bottom w:val="single" w:sz="4" w:space="0" w:color="auto"/>
              <w:right w:val="single" w:sz="4" w:space="0" w:color="auto"/>
            </w:tcBorders>
          </w:tcPr>
          <w:p w14:paraId="5C65D7BA" w14:textId="7BF2BA2D" w:rsidR="007805FC" w:rsidRPr="008717EF" w:rsidRDefault="007805FC" w:rsidP="003225AE">
            <w:pPr>
              <w:spacing w:line="360" w:lineRule="auto"/>
            </w:pPr>
            <w:r w:rsidRPr="008717EF">
              <w:t xml:space="preserve">A PCMH will be placed </w:t>
            </w:r>
            <w:r w:rsidR="006C2E96" w:rsidRPr="008717EF">
              <w:t xml:space="preserve">in remediation for Core Metric 3 (PCP Visits </w:t>
            </w:r>
            <w:r w:rsidR="00765DCA" w:rsidRPr="008717EF">
              <w:t xml:space="preserve">for High Priority Beneficiaries </w:t>
            </w:r>
            <w:r w:rsidR="006C2E96" w:rsidRPr="008717EF">
              <w:t>(Low Performance)</w:t>
            </w:r>
            <w:r w:rsidRPr="008717EF">
              <w:t xml:space="preserve">) tracked for Practice Support if </w:t>
            </w:r>
            <w:r w:rsidR="006C2E96" w:rsidRPr="008717EF">
              <w:t xml:space="preserve">less than </w:t>
            </w:r>
            <w:r w:rsidR="009645FC" w:rsidRPr="00C12216">
              <w:rPr>
                <w:highlight w:val="yellow"/>
              </w:rPr>
              <w:t>67</w:t>
            </w:r>
            <w:r w:rsidR="006C2E96" w:rsidRPr="00C12216">
              <w:rPr>
                <w:highlight w:val="yellow"/>
              </w:rPr>
              <w:t>%</w:t>
            </w:r>
            <w:r w:rsidR="006C2E96" w:rsidRPr="008717EF">
              <w:t xml:space="preserve"> of the </w:t>
            </w:r>
            <w:r w:rsidR="00EB3879" w:rsidRPr="008717EF">
              <w:t xml:space="preserve">practice’s high priority beneficiaries who </w:t>
            </w:r>
            <w:r w:rsidR="00765DCA" w:rsidRPr="008717EF">
              <w:t>were</w:t>
            </w:r>
            <w:r w:rsidR="00EB3879" w:rsidRPr="008717EF">
              <w:t xml:space="preserve"> seen by their PCMH at least twice </w:t>
            </w:r>
            <w:r w:rsidR="00765DCA" w:rsidRPr="008717EF">
              <w:t>during the measurement year</w:t>
            </w:r>
            <w:r w:rsidR="00EB3879" w:rsidRPr="008717EF">
              <w:t>.</w:t>
            </w:r>
          </w:p>
        </w:tc>
        <w:tc>
          <w:tcPr>
            <w:tcW w:w="1290" w:type="dxa"/>
            <w:tcBorders>
              <w:top w:val="single" w:sz="4" w:space="0" w:color="auto"/>
              <w:left w:val="single" w:sz="4" w:space="0" w:color="auto"/>
              <w:bottom w:val="single" w:sz="4" w:space="0" w:color="auto"/>
              <w:right w:val="single" w:sz="4" w:space="0" w:color="auto"/>
            </w:tcBorders>
          </w:tcPr>
          <w:p w14:paraId="4A11D65B" w14:textId="50480100" w:rsidR="007805FC" w:rsidRPr="008717EF" w:rsidRDefault="00B64983" w:rsidP="003225AE">
            <w:pPr>
              <w:spacing w:line="360" w:lineRule="auto"/>
              <w:jc w:val="center"/>
            </w:pPr>
            <w:r w:rsidRPr="008717EF">
              <w:rPr>
                <w:rFonts w:cs="Arial"/>
              </w:rPr>
              <w:t xml:space="preserve">≥ </w:t>
            </w:r>
            <w:r w:rsidR="007805FC" w:rsidRPr="008717EF">
              <w:t>25</w:t>
            </w:r>
          </w:p>
        </w:tc>
      </w:tr>
      <w:tr w:rsidR="00CB21E8" w:rsidRPr="008717EF" w14:paraId="1FAB07C8" w14:textId="77777777" w:rsidTr="00C815CB">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07745FA4" w14:textId="5482A9D7" w:rsidR="00CB21E8" w:rsidRPr="008717EF" w:rsidRDefault="00CB21E8" w:rsidP="00CB21E8">
            <w:pPr>
              <w:spacing w:line="360" w:lineRule="auto"/>
            </w:pPr>
            <w:r w:rsidRPr="008717EF">
              <w:t xml:space="preserve">Core Metric </w:t>
            </w:r>
            <w:r w:rsidR="00762CBA" w:rsidRPr="00C12216">
              <w:rPr>
                <w:highlight w:val="yellow"/>
              </w:rPr>
              <w:t>4</w:t>
            </w:r>
            <w:r w:rsidRPr="008717EF">
              <w:t xml:space="preserve">: </w:t>
            </w:r>
            <w:r w:rsidR="00EC7FAA" w:rsidRPr="008717EF">
              <w:t xml:space="preserve">Concurrent Use of Opioids and Benzodiazepines </w:t>
            </w:r>
            <w:r w:rsidRPr="008717EF">
              <w:t>(Low Performance)</w:t>
            </w:r>
          </w:p>
          <w:p w14:paraId="1685D333" w14:textId="77777777" w:rsidR="00CB21E8" w:rsidRPr="008717EF" w:rsidRDefault="00CB21E8" w:rsidP="00CB21E8">
            <w:pPr>
              <w:spacing w:line="360" w:lineRule="auto"/>
            </w:pPr>
          </w:p>
          <w:p w14:paraId="15F37B7F" w14:textId="2703FCFB" w:rsidR="00CB21E8" w:rsidRPr="008717EF" w:rsidRDefault="00CB21E8" w:rsidP="00CB21E8">
            <w:pPr>
              <w:spacing w:line="360" w:lineRule="auto"/>
            </w:pPr>
            <w:r w:rsidRPr="008717EF">
              <w:rPr>
                <w:i/>
              </w:rPr>
              <w:t>*</w:t>
            </w:r>
            <w:r w:rsidRPr="008717EF">
              <w:rPr>
                <w:sz w:val="16"/>
                <w:szCs w:val="16"/>
              </w:rPr>
              <w:t>Claims-based</w:t>
            </w:r>
          </w:p>
        </w:tc>
        <w:tc>
          <w:tcPr>
            <w:tcW w:w="3041" w:type="dxa"/>
            <w:tcBorders>
              <w:top w:val="single" w:sz="4" w:space="0" w:color="auto"/>
              <w:left w:val="single" w:sz="4" w:space="0" w:color="auto"/>
              <w:bottom w:val="single" w:sz="4" w:space="0" w:color="auto"/>
              <w:right w:val="single" w:sz="4" w:space="0" w:color="auto"/>
            </w:tcBorders>
          </w:tcPr>
          <w:p w14:paraId="38D57FF8" w14:textId="40C895EF" w:rsidR="00CB21E8" w:rsidRPr="008717EF" w:rsidRDefault="00CB21E8" w:rsidP="00CB21E8">
            <w:pPr>
              <w:spacing w:line="360" w:lineRule="auto"/>
            </w:pPr>
            <w:r w:rsidRPr="008717EF">
              <w:t>The purpose of the concurrent use of prescription opioids and benzodiazepines core metric is to identify</w:t>
            </w:r>
            <w:r w:rsidR="005A4783" w:rsidRPr="008717EF">
              <w:t xml:space="preserve"> low performers</w:t>
            </w:r>
            <w:r w:rsidRPr="008717EF">
              <w:t xml:space="preserve">. The metric measures the percentage of </w:t>
            </w:r>
            <w:r w:rsidR="006055E9" w:rsidRPr="008717EF">
              <w:t>beneficiaries</w:t>
            </w:r>
            <w:r w:rsidRPr="008717EF">
              <w:t xml:space="preserve"> age 18 and older with concurrent use of prescription opioids and benzodiazepines.</w:t>
            </w:r>
          </w:p>
        </w:tc>
        <w:tc>
          <w:tcPr>
            <w:tcW w:w="2966" w:type="dxa"/>
            <w:tcBorders>
              <w:top w:val="single" w:sz="4" w:space="0" w:color="auto"/>
              <w:left w:val="single" w:sz="4" w:space="0" w:color="auto"/>
              <w:bottom w:val="single" w:sz="4" w:space="0" w:color="auto"/>
              <w:right w:val="single" w:sz="4" w:space="0" w:color="auto"/>
            </w:tcBorders>
          </w:tcPr>
          <w:p w14:paraId="719B15D9" w14:textId="58B6A509" w:rsidR="00EC7FAA" w:rsidRPr="008717EF" w:rsidRDefault="00EB329F" w:rsidP="00EC7FAA">
            <w:pPr>
              <w:spacing w:line="360" w:lineRule="auto"/>
            </w:pPr>
            <w:r w:rsidRPr="008717EF">
              <w:t>27</w:t>
            </w:r>
            <w:r w:rsidR="00EC7FAA" w:rsidRPr="008717EF">
              <w:t>% or less of beneficiaries with two or more prescription claims for any benzodiazepine with unique dates of service and concurrent use of opioids and benzodiazepines for 30 or more cumulative days.</w:t>
            </w:r>
          </w:p>
        </w:tc>
        <w:tc>
          <w:tcPr>
            <w:tcW w:w="3765" w:type="dxa"/>
            <w:tcBorders>
              <w:top w:val="single" w:sz="4" w:space="0" w:color="auto"/>
              <w:left w:val="single" w:sz="4" w:space="0" w:color="auto"/>
              <w:bottom w:val="single" w:sz="4" w:space="0" w:color="auto"/>
              <w:right w:val="single" w:sz="4" w:space="0" w:color="auto"/>
            </w:tcBorders>
          </w:tcPr>
          <w:p w14:paraId="65A20DFB" w14:textId="13947209" w:rsidR="00EC7FAA" w:rsidRPr="008717EF" w:rsidRDefault="00CB21E8" w:rsidP="00EC7FAA">
            <w:pPr>
              <w:spacing w:line="360" w:lineRule="auto"/>
            </w:pPr>
            <w:r w:rsidRPr="008717EF">
              <w:t xml:space="preserve">A PCMH will be placed </w:t>
            </w:r>
            <w:r w:rsidR="00EC7FAA" w:rsidRPr="008717EF">
              <w:t xml:space="preserve">in remediation for Core Metric </w:t>
            </w:r>
            <w:r w:rsidR="002E04C4" w:rsidRPr="00C12216">
              <w:rPr>
                <w:highlight w:val="yellow"/>
              </w:rPr>
              <w:t>4</w:t>
            </w:r>
            <w:r w:rsidR="002E04C4" w:rsidRPr="008717EF">
              <w:t xml:space="preserve"> </w:t>
            </w:r>
            <w:r w:rsidR="00EC7FAA" w:rsidRPr="008717EF">
              <w:t xml:space="preserve">Concurrent Use of Opioids and Benzodiazepines (Low Performance) tracked for Practice Support if more than </w:t>
            </w:r>
            <w:r w:rsidR="00EB329F" w:rsidRPr="008717EF">
              <w:t>27</w:t>
            </w:r>
            <w:r w:rsidR="00EC7FAA" w:rsidRPr="008717EF">
              <w:t xml:space="preserve">% of </w:t>
            </w:r>
            <w:r w:rsidR="006055E9" w:rsidRPr="008717EF">
              <w:t>beneficiaries</w:t>
            </w:r>
            <w:r w:rsidR="00EC7FAA" w:rsidRPr="008717EF">
              <w:t xml:space="preserve"> with two or more prescription claims for any benzodiazepine with unique dates of service and concurrent use of opioids and benzodiazepines for 30 or more cumulative days.</w:t>
            </w:r>
          </w:p>
        </w:tc>
        <w:tc>
          <w:tcPr>
            <w:tcW w:w="1290" w:type="dxa"/>
            <w:tcBorders>
              <w:top w:val="single" w:sz="4" w:space="0" w:color="auto"/>
              <w:left w:val="single" w:sz="4" w:space="0" w:color="auto"/>
              <w:bottom w:val="single" w:sz="4" w:space="0" w:color="auto"/>
              <w:right w:val="single" w:sz="4" w:space="0" w:color="auto"/>
            </w:tcBorders>
          </w:tcPr>
          <w:p w14:paraId="14FF429C" w14:textId="0E54A6BD" w:rsidR="00CB21E8" w:rsidRPr="008717EF" w:rsidRDefault="00CB21E8" w:rsidP="00CB21E8">
            <w:pPr>
              <w:spacing w:line="360" w:lineRule="auto"/>
              <w:jc w:val="center"/>
              <w:rPr>
                <w:rFonts w:cs="Arial"/>
              </w:rPr>
            </w:pPr>
            <w:r w:rsidRPr="008717EF">
              <w:rPr>
                <w:rFonts w:cs="Arial"/>
              </w:rPr>
              <w:t xml:space="preserve">≥ </w:t>
            </w:r>
            <w:r w:rsidRPr="008717EF">
              <w:t>25</w:t>
            </w:r>
          </w:p>
        </w:tc>
      </w:tr>
      <w:tr w:rsidR="00762CBA" w:rsidRPr="008717EF" w14:paraId="24C8C125" w14:textId="77777777" w:rsidTr="00C815CB">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795B86C0" w14:textId="793456F5" w:rsidR="00762CBA" w:rsidRPr="002E636E" w:rsidRDefault="00A65E04" w:rsidP="00CB21E8">
            <w:pPr>
              <w:spacing w:line="360" w:lineRule="auto"/>
              <w:rPr>
                <w:highlight w:val="yellow"/>
              </w:rPr>
            </w:pPr>
            <w:r w:rsidRPr="002E636E">
              <w:rPr>
                <w:highlight w:val="yellow"/>
              </w:rPr>
              <w:lastRenderedPageBreak/>
              <w:t>Core Metric 5: Adolescent Well</w:t>
            </w:r>
            <w:r w:rsidR="007949D5" w:rsidRPr="002E636E">
              <w:rPr>
                <w:highlight w:val="yellow"/>
              </w:rPr>
              <w:t>-Care Visits (Ages 12-20) (AWC) (Low Performance)</w:t>
            </w:r>
          </w:p>
        </w:tc>
        <w:tc>
          <w:tcPr>
            <w:tcW w:w="3041" w:type="dxa"/>
            <w:tcBorders>
              <w:top w:val="single" w:sz="4" w:space="0" w:color="auto"/>
              <w:left w:val="single" w:sz="4" w:space="0" w:color="auto"/>
              <w:bottom w:val="single" w:sz="4" w:space="0" w:color="auto"/>
              <w:right w:val="single" w:sz="4" w:space="0" w:color="auto"/>
            </w:tcBorders>
          </w:tcPr>
          <w:p w14:paraId="474D5DA0" w14:textId="68EE51B3" w:rsidR="00762CBA" w:rsidRPr="002E636E" w:rsidRDefault="003B28CB" w:rsidP="00CB21E8">
            <w:pPr>
              <w:spacing w:line="360" w:lineRule="auto"/>
              <w:rPr>
                <w:highlight w:val="yellow"/>
              </w:rPr>
            </w:pPr>
            <w:r w:rsidRPr="002E636E">
              <w:rPr>
                <w:highlight w:val="yellow"/>
              </w:rPr>
              <w:t>The purpose of the adolescent well-care visits core metric is to identify low performers. The metric measures the percentage of beneficiaries 12-20 years of age who had one or more well-care visits during the measurement period.</w:t>
            </w:r>
          </w:p>
        </w:tc>
        <w:tc>
          <w:tcPr>
            <w:tcW w:w="2966" w:type="dxa"/>
            <w:tcBorders>
              <w:top w:val="single" w:sz="4" w:space="0" w:color="auto"/>
              <w:left w:val="single" w:sz="4" w:space="0" w:color="auto"/>
              <w:bottom w:val="single" w:sz="4" w:space="0" w:color="auto"/>
              <w:right w:val="single" w:sz="4" w:space="0" w:color="auto"/>
            </w:tcBorders>
          </w:tcPr>
          <w:p w14:paraId="7E0D8FEC" w14:textId="2E184048" w:rsidR="00762CBA" w:rsidRPr="002E636E" w:rsidRDefault="006A7532" w:rsidP="00EC7FAA">
            <w:pPr>
              <w:spacing w:line="360" w:lineRule="auto"/>
              <w:rPr>
                <w:highlight w:val="yellow"/>
              </w:rPr>
            </w:pPr>
            <w:r w:rsidRPr="002E636E">
              <w:rPr>
                <w:highlight w:val="yellow"/>
              </w:rPr>
              <w:t xml:space="preserve">At least 25% of the practice’s beneficiaries </w:t>
            </w:r>
            <w:r w:rsidR="00E33187" w:rsidRPr="002E636E">
              <w:rPr>
                <w:highlight w:val="yellow"/>
              </w:rPr>
              <w:t xml:space="preserve">12-20 years of age </w:t>
            </w:r>
            <w:r w:rsidRPr="002E636E">
              <w:rPr>
                <w:highlight w:val="yellow"/>
              </w:rPr>
              <w:t xml:space="preserve">with </w:t>
            </w:r>
            <w:r w:rsidR="00766D0E" w:rsidRPr="002E636E">
              <w:rPr>
                <w:highlight w:val="yellow"/>
              </w:rPr>
              <w:t>at least one</w:t>
            </w:r>
            <w:r w:rsidRPr="002E636E">
              <w:rPr>
                <w:highlight w:val="yellow"/>
              </w:rPr>
              <w:t xml:space="preserve"> </w:t>
            </w:r>
            <w:r w:rsidR="002E04C4" w:rsidRPr="002E636E">
              <w:rPr>
                <w:highlight w:val="yellow"/>
              </w:rPr>
              <w:t>well-care visit</w:t>
            </w:r>
            <w:r w:rsidRPr="002E636E">
              <w:rPr>
                <w:highlight w:val="yellow"/>
              </w:rPr>
              <w:t xml:space="preserve"> with their attributed PCMH</w:t>
            </w:r>
            <w:r w:rsidR="002E04C4" w:rsidRPr="002E636E">
              <w:rPr>
                <w:highlight w:val="yellow"/>
              </w:rPr>
              <w:t xml:space="preserve"> during the measurement period</w:t>
            </w:r>
            <w:r w:rsidRPr="002E636E">
              <w:rPr>
                <w:highlight w:val="yellow"/>
              </w:rPr>
              <w:t>.</w:t>
            </w:r>
          </w:p>
        </w:tc>
        <w:tc>
          <w:tcPr>
            <w:tcW w:w="3765" w:type="dxa"/>
            <w:tcBorders>
              <w:top w:val="single" w:sz="4" w:space="0" w:color="auto"/>
              <w:left w:val="single" w:sz="4" w:space="0" w:color="auto"/>
              <w:bottom w:val="single" w:sz="4" w:space="0" w:color="auto"/>
              <w:right w:val="single" w:sz="4" w:space="0" w:color="auto"/>
            </w:tcBorders>
          </w:tcPr>
          <w:p w14:paraId="695757E7" w14:textId="259D583B" w:rsidR="00762CBA" w:rsidRPr="002E636E" w:rsidRDefault="002E04C4" w:rsidP="00EC7FAA">
            <w:pPr>
              <w:spacing w:line="360" w:lineRule="auto"/>
              <w:rPr>
                <w:highlight w:val="yellow"/>
              </w:rPr>
            </w:pPr>
            <w:r w:rsidRPr="002E636E">
              <w:rPr>
                <w:highlight w:val="yellow"/>
              </w:rPr>
              <w:t xml:space="preserve">A PCMH will be placed in remediation for Core Metric 5 </w:t>
            </w:r>
            <w:r w:rsidR="00A73C29" w:rsidRPr="002E636E">
              <w:rPr>
                <w:highlight w:val="yellow"/>
              </w:rPr>
              <w:t>Adolescent Well-Care Visits (Ages 12-20) (AWC)</w:t>
            </w:r>
            <w:r w:rsidRPr="002E636E">
              <w:rPr>
                <w:highlight w:val="yellow"/>
              </w:rPr>
              <w:t xml:space="preserve"> (Low Performance) tracked for Practice Support if </w:t>
            </w:r>
            <w:r w:rsidR="00595798" w:rsidRPr="002E636E">
              <w:rPr>
                <w:highlight w:val="yellow"/>
              </w:rPr>
              <w:t>less</w:t>
            </w:r>
            <w:r w:rsidRPr="002E636E">
              <w:rPr>
                <w:highlight w:val="yellow"/>
              </w:rPr>
              <w:t xml:space="preserve"> than 2</w:t>
            </w:r>
            <w:r w:rsidR="00595798" w:rsidRPr="002E636E">
              <w:rPr>
                <w:highlight w:val="yellow"/>
              </w:rPr>
              <w:t>5</w:t>
            </w:r>
            <w:r w:rsidRPr="002E636E">
              <w:rPr>
                <w:highlight w:val="yellow"/>
              </w:rPr>
              <w:t xml:space="preserve">% of </w:t>
            </w:r>
            <w:r w:rsidR="005B11A3" w:rsidRPr="002E636E">
              <w:rPr>
                <w:highlight w:val="yellow"/>
              </w:rPr>
              <w:t>attributed beneficiaries (</w:t>
            </w:r>
            <w:r w:rsidR="001B0836" w:rsidRPr="002E636E">
              <w:rPr>
                <w:highlight w:val="yellow"/>
              </w:rPr>
              <w:t>12-20 years</w:t>
            </w:r>
            <w:r w:rsidR="005B11A3" w:rsidRPr="002E636E">
              <w:rPr>
                <w:highlight w:val="yellow"/>
              </w:rPr>
              <w:t xml:space="preserve">) have </w:t>
            </w:r>
            <w:r w:rsidR="00891FE4" w:rsidRPr="002E636E">
              <w:rPr>
                <w:highlight w:val="yellow"/>
              </w:rPr>
              <w:t>at least one</w:t>
            </w:r>
            <w:r w:rsidR="005B11A3" w:rsidRPr="002E636E">
              <w:rPr>
                <w:highlight w:val="yellow"/>
              </w:rPr>
              <w:t xml:space="preserve"> wellness visit</w:t>
            </w:r>
            <w:r w:rsidRPr="002E636E">
              <w:rPr>
                <w:highlight w:val="yellow"/>
              </w:rPr>
              <w:t>.</w:t>
            </w:r>
          </w:p>
        </w:tc>
        <w:tc>
          <w:tcPr>
            <w:tcW w:w="1290" w:type="dxa"/>
            <w:tcBorders>
              <w:top w:val="single" w:sz="4" w:space="0" w:color="auto"/>
              <w:left w:val="single" w:sz="4" w:space="0" w:color="auto"/>
              <w:bottom w:val="single" w:sz="4" w:space="0" w:color="auto"/>
              <w:right w:val="single" w:sz="4" w:space="0" w:color="auto"/>
            </w:tcBorders>
          </w:tcPr>
          <w:p w14:paraId="56D42CD5" w14:textId="15750034" w:rsidR="00762CBA" w:rsidRPr="002E636E" w:rsidRDefault="003B28CB" w:rsidP="00CB21E8">
            <w:pPr>
              <w:spacing w:line="360" w:lineRule="auto"/>
              <w:jc w:val="center"/>
              <w:rPr>
                <w:rFonts w:cs="Arial"/>
                <w:highlight w:val="yellow"/>
              </w:rPr>
            </w:pPr>
            <w:r w:rsidRPr="002E636E">
              <w:rPr>
                <w:rFonts w:cs="Arial"/>
                <w:highlight w:val="yellow"/>
              </w:rPr>
              <w:t xml:space="preserve">≥ </w:t>
            </w:r>
            <w:r w:rsidRPr="002E636E">
              <w:rPr>
                <w:highlight w:val="yellow"/>
              </w:rPr>
              <w:t>25</w:t>
            </w:r>
          </w:p>
        </w:tc>
      </w:tr>
    </w:tbl>
    <w:p w14:paraId="598C2A64" w14:textId="77777777" w:rsidR="00674C5B" w:rsidRPr="008717EF" w:rsidRDefault="00674C5B" w:rsidP="003225AE">
      <w:pPr>
        <w:spacing w:line="360" w:lineRule="auto"/>
        <w:sectPr w:rsidR="00674C5B" w:rsidRPr="008717EF" w:rsidSect="00BB1ECF">
          <w:headerReference w:type="even" r:id="rId36"/>
          <w:headerReference w:type="default" r:id="rId37"/>
          <w:footerReference w:type="default" r:id="rId38"/>
          <w:headerReference w:type="first" r:id="rId39"/>
          <w:pgSz w:w="15840" w:h="12240" w:orient="landscape"/>
          <w:pgMar w:top="1440" w:right="1440" w:bottom="1440" w:left="1440" w:header="720" w:footer="720" w:gutter="0"/>
          <w:cols w:space="720"/>
          <w:docGrid w:linePitch="360"/>
        </w:sectPr>
      </w:pPr>
    </w:p>
    <w:p w14:paraId="1612B496" w14:textId="5BD58DFE" w:rsidR="00A25996" w:rsidRPr="008717EF" w:rsidRDefault="00A25996" w:rsidP="003225AE">
      <w:pPr>
        <w:spacing w:line="360" w:lineRule="auto"/>
      </w:pPr>
      <w:r w:rsidRPr="008717EF">
        <w:lastRenderedPageBreak/>
        <w:t xml:space="preserve">DMS will verify whether the PCMH has met the target for the Core Metrics by reviewing the PCMH reports issued </w:t>
      </w:r>
      <w:bookmarkStart w:id="75" w:name="_Hlk81219850"/>
      <w:r w:rsidR="00897721" w:rsidRPr="008717EF">
        <w:t xml:space="preserve">in June </w:t>
      </w:r>
      <w:r w:rsidR="00603D7E" w:rsidRPr="00603D7E">
        <w:rPr>
          <w:highlight w:val="yellow"/>
        </w:rPr>
        <w:t>2024</w:t>
      </w:r>
      <w:r w:rsidR="00897721" w:rsidRPr="008717EF">
        <w:t xml:space="preserve">, at the end of </w:t>
      </w:r>
      <w:bookmarkEnd w:id="75"/>
      <w:r w:rsidRPr="008717EF">
        <w:t xml:space="preserve">the </w:t>
      </w:r>
      <w:r w:rsidR="00897721" w:rsidRPr="008717EF">
        <w:t xml:space="preserve">second </w:t>
      </w:r>
      <w:r w:rsidRPr="008717EF">
        <w:t xml:space="preserve">quarter following the completion of the measured performance period. </w:t>
      </w:r>
    </w:p>
    <w:p w14:paraId="66A68E2F" w14:textId="77777777" w:rsidR="00A25996" w:rsidRPr="008717EF" w:rsidRDefault="00A25996" w:rsidP="003225AE">
      <w:pPr>
        <w:spacing w:line="360" w:lineRule="auto"/>
      </w:pPr>
      <w:r w:rsidRPr="008717EF">
        <w:t xml:space="preserve">Failure to meet the targets will result in a “Notice of Failure to Meet Core Metrics Tracked for Practice Support.” PCMHs that receive this notice will be subject to completion of a Quality Improvement Plan (QIP) and a 90-day remediation period.  </w:t>
      </w:r>
    </w:p>
    <w:p w14:paraId="1EA97F4D" w14:textId="77777777" w:rsidR="00A25996" w:rsidRPr="008717EF" w:rsidRDefault="00A25996" w:rsidP="00425466">
      <w:pPr>
        <w:pStyle w:val="ListParagraph"/>
      </w:pPr>
      <w:r w:rsidRPr="008717EF">
        <w:t>The PCMH will have 15 calendar-days to submit a sufficient QIP — failure to submit a sufficient QIP within 15 calendar-days of receiving the notice will result in suspension of practice support.</w:t>
      </w:r>
    </w:p>
    <w:p w14:paraId="67855D13" w14:textId="77777777" w:rsidR="00A25996" w:rsidRPr="008717EF" w:rsidRDefault="00A25996" w:rsidP="00425466">
      <w:pPr>
        <w:pStyle w:val="ListParagraph"/>
      </w:pPr>
      <w:r w:rsidRPr="008717EF">
        <w:t xml:space="preserve">PCMHs that receive a notice will have 90 calendar-days, from the date of the notice, to remediate performance of the metric. </w:t>
      </w:r>
    </w:p>
    <w:p w14:paraId="02509346" w14:textId="2C3A1D45" w:rsidR="00A25996" w:rsidRPr="00DA3DC0" w:rsidRDefault="00A25996" w:rsidP="003225AE">
      <w:pPr>
        <w:spacing w:line="360" w:lineRule="auto"/>
        <w:rPr>
          <w:color w:val="FF0000"/>
        </w:rPr>
      </w:pPr>
      <w:r w:rsidRPr="008717EF">
        <w:t xml:space="preserve">Successful completion of remediation will be determined by DMS based on the Core Metric results reported in the monthly </w:t>
      </w:r>
      <w:r w:rsidR="00B30E44" w:rsidRPr="00603D7E">
        <w:rPr>
          <w:highlight w:val="yellow"/>
        </w:rPr>
        <w:t xml:space="preserve">Population Health </w:t>
      </w:r>
      <w:r w:rsidR="00DA3DC0" w:rsidRPr="00603D7E">
        <w:rPr>
          <w:highlight w:val="yellow"/>
        </w:rPr>
        <w:t>Management Report</w:t>
      </w:r>
      <w:r w:rsidRPr="00603D7E">
        <w:rPr>
          <w:highlight w:val="yellow"/>
        </w:rPr>
        <w:t xml:space="preserve"> posted in the portal</w:t>
      </w:r>
      <w:r w:rsidRPr="008717EF">
        <w:t>, the following month after remediation ends. If a PCMH fails to meet the deadlines or targets for the Core Metrics tracked for practice support within the specified remediation time</w:t>
      </w:r>
      <w:r w:rsidR="00DA3DC0">
        <w:t xml:space="preserve">, </w:t>
      </w:r>
      <w:r w:rsidR="00DA3DC0" w:rsidRPr="00603D7E">
        <w:rPr>
          <w:highlight w:val="yellow"/>
        </w:rPr>
        <w:t>the practice is subject to program suspension</w:t>
      </w:r>
      <w:r w:rsidRPr="00603D7E">
        <w:rPr>
          <w:highlight w:val="yellow"/>
        </w:rPr>
        <w:t>.</w:t>
      </w:r>
    </w:p>
    <w:p w14:paraId="1F647D2B" w14:textId="77777777" w:rsidR="00A25996" w:rsidRPr="008717EF" w:rsidRDefault="00A25996" w:rsidP="003225AE">
      <w:pPr>
        <w:pStyle w:val="Heading2"/>
        <w:numPr>
          <w:ilvl w:val="0"/>
          <w:numId w:val="0"/>
        </w:numPr>
        <w:spacing w:before="120" w:line="360" w:lineRule="auto"/>
        <w:ind w:left="576" w:hanging="576"/>
        <w:sectPr w:rsidR="00A25996" w:rsidRPr="008717EF" w:rsidSect="00BB1ECF">
          <w:headerReference w:type="default" r:id="rId40"/>
          <w:pgSz w:w="15840" w:h="12240" w:orient="landscape"/>
          <w:pgMar w:top="1440" w:right="1440" w:bottom="1440" w:left="1440" w:header="720" w:footer="720" w:gutter="0"/>
          <w:cols w:space="720"/>
          <w:docGrid w:linePitch="360"/>
        </w:sectPr>
      </w:pPr>
    </w:p>
    <w:p w14:paraId="5D047521" w14:textId="601F3FD1" w:rsidR="00A25996" w:rsidRPr="008717EF" w:rsidRDefault="00A25996" w:rsidP="003225AE">
      <w:pPr>
        <w:pStyle w:val="Heading1"/>
        <w:tabs>
          <w:tab w:val="clear" w:pos="720"/>
        </w:tabs>
        <w:spacing w:before="120" w:line="360" w:lineRule="auto"/>
      </w:pPr>
      <w:bookmarkStart w:id="76" w:name="_Toc113888478"/>
      <w:r w:rsidRPr="008717EF">
        <w:lastRenderedPageBreak/>
        <w:t>243.000</w:t>
      </w:r>
      <w:r w:rsidRPr="008717EF">
        <w:tab/>
        <w:t>Quality Metrics Tracked for Performance Based Incentive Payments</w:t>
      </w:r>
      <w:bookmarkEnd w:id="74"/>
      <w:bookmarkEnd w:id="76"/>
    </w:p>
    <w:p w14:paraId="0F0E5599" w14:textId="1C1A9CDB" w:rsidR="00A25996" w:rsidRPr="008717EF" w:rsidRDefault="00A25996" w:rsidP="003225AE">
      <w:pPr>
        <w:spacing w:line="360" w:lineRule="auto"/>
      </w:pPr>
      <w:r w:rsidRPr="008717EF">
        <w:t xml:space="preserve">DMS assesses the following Quality Metrics tracked for Performance-Based Incentive Payments (PBIP) according to the targets below.  The quality metrics are assessed only if the Shared Performance Entity has at least the minimum number of attributed beneficiaries in the category described for the majority of the performance period. To receive a PBIP, the Shared Performance Entity must meet at least two-thirds of the Quality Metrics on which the entity is assessed. </w:t>
      </w:r>
    </w:p>
    <w:p w14:paraId="33F6838F" w14:textId="2B6C7A53" w:rsidR="00A25996" w:rsidRPr="008717EF" w:rsidRDefault="00A25996" w:rsidP="003225AE">
      <w:pPr>
        <w:spacing w:line="360" w:lineRule="auto"/>
      </w:pPr>
      <w:r w:rsidRPr="008717EF">
        <w:t xml:space="preserve">The Quality Metrics are assessed at the level of the </w:t>
      </w:r>
      <w:r w:rsidR="007D4257" w:rsidRPr="0019599F">
        <w:t>S</w:t>
      </w:r>
      <w:r w:rsidRPr="0019599F">
        <w:t xml:space="preserve">hared </w:t>
      </w:r>
      <w:r w:rsidR="007D4257" w:rsidRPr="0019599F">
        <w:t>P</w:t>
      </w:r>
      <w:r w:rsidR="006E6691" w:rsidRPr="0019599F">
        <w:t xml:space="preserve">erformance </w:t>
      </w:r>
      <w:r w:rsidR="007D4257" w:rsidRPr="0019599F">
        <w:t>E</w:t>
      </w:r>
      <w:r w:rsidRPr="0019599F">
        <w:t xml:space="preserve">ntity for </w:t>
      </w:r>
      <w:r w:rsidR="00B11BF5" w:rsidRPr="008717EF">
        <w:t xml:space="preserve">Voluntary </w:t>
      </w:r>
      <w:r w:rsidRPr="008717EF">
        <w:t xml:space="preserve">pools and the </w:t>
      </w:r>
      <w:r w:rsidR="00B11BF5" w:rsidRPr="008717EF">
        <w:t>Petite Pool</w:t>
      </w:r>
      <w:r w:rsidRPr="008717EF">
        <w:t>. Quality Metrics for the default pool are assessed on an individual PCMH-level.</w:t>
      </w:r>
    </w:p>
    <w:p w14:paraId="12170378" w14:textId="1DFE4C05" w:rsidR="00A25996" w:rsidRPr="008717EF" w:rsidRDefault="00A25996" w:rsidP="003225AE">
      <w:pPr>
        <w:spacing w:line="360" w:lineRule="auto"/>
      </w:pPr>
      <w:r w:rsidRPr="008717EF">
        <w:t>Achievement of targets for Quality Metrics</w:t>
      </w:r>
      <w:r w:rsidR="00B32471" w:rsidRPr="008717EF">
        <w:t xml:space="preserve"> 10, 11, and 12</w:t>
      </w:r>
      <w:r w:rsidRPr="008717EF">
        <w:t xml:space="preserve"> can be calculated only if the required metric data is submitted through the Provider Portal. Failure to provide the required data by January 31, </w:t>
      </w:r>
      <w:r w:rsidR="007D4257" w:rsidRPr="008717EF">
        <w:t>2023,</w:t>
      </w:r>
      <w:r w:rsidR="007D4257">
        <w:t xml:space="preserve"> </w:t>
      </w:r>
      <w:r w:rsidRPr="008717EF">
        <w:t xml:space="preserve">will cause failure to meet targets for Quality Metrics </w:t>
      </w:r>
      <w:r w:rsidR="001847ED" w:rsidRPr="008717EF">
        <w:t>10, 11, and 12 (eCQM).</w:t>
      </w:r>
    </w:p>
    <w:tbl>
      <w:tblPr>
        <w:tblStyle w:val="TableGrid"/>
        <w:tblW w:w="13045" w:type="dxa"/>
        <w:tblLayout w:type="fixed"/>
        <w:tblCellMar>
          <w:left w:w="72" w:type="dxa"/>
          <w:right w:w="72" w:type="dxa"/>
        </w:tblCellMar>
        <w:tblLook w:val="04A0" w:firstRow="1" w:lastRow="0" w:firstColumn="1" w:lastColumn="0" w:noHBand="0" w:noVBand="1"/>
      </w:tblPr>
      <w:tblGrid>
        <w:gridCol w:w="1345"/>
        <w:gridCol w:w="1620"/>
        <w:gridCol w:w="7200"/>
        <w:gridCol w:w="90"/>
        <w:gridCol w:w="1347"/>
        <w:gridCol w:w="1443"/>
      </w:tblGrid>
      <w:tr w:rsidR="00A25996" w:rsidRPr="008717EF" w14:paraId="65D4FF98" w14:textId="77777777" w:rsidTr="007D4257">
        <w:trPr>
          <w:trHeight w:val="1068"/>
          <w:tblHeader/>
        </w:trPr>
        <w:tc>
          <w:tcPr>
            <w:tcW w:w="1345" w:type="dxa"/>
            <w:shd w:val="clear" w:color="auto" w:fill="002060"/>
            <w:vAlign w:val="center"/>
            <w:hideMark/>
          </w:tcPr>
          <w:p w14:paraId="17ECC1F4" w14:textId="77777777" w:rsidR="00A25996" w:rsidRPr="008717EF" w:rsidRDefault="00A25996" w:rsidP="003225AE">
            <w:pPr>
              <w:pStyle w:val="TableHeading"/>
              <w:spacing w:before="120" w:after="120" w:line="360" w:lineRule="auto"/>
            </w:pPr>
            <w:r w:rsidRPr="008717EF">
              <w:t>Metric #</w:t>
            </w:r>
          </w:p>
        </w:tc>
        <w:tc>
          <w:tcPr>
            <w:tcW w:w="1620" w:type="dxa"/>
            <w:shd w:val="clear" w:color="auto" w:fill="002060"/>
            <w:vAlign w:val="center"/>
            <w:hideMark/>
          </w:tcPr>
          <w:p w14:paraId="70D95952" w14:textId="77777777" w:rsidR="00A25996" w:rsidRPr="008717EF" w:rsidRDefault="00A25996" w:rsidP="003225AE">
            <w:pPr>
              <w:pStyle w:val="TableHeading"/>
              <w:spacing w:before="120" w:after="120" w:line="360" w:lineRule="auto"/>
            </w:pPr>
            <w:r w:rsidRPr="008717EF">
              <w:t>Metric Name</w:t>
            </w:r>
          </w:p>
        </w:tc>
        <w:tc>
          <w:tcPr>
            <w:tcW w:w="7290" w:type="dxa"/>
            <w:gridSpan w:val="2"/>
            <w:shd w:val="clear" w:color="auto" w:fill="002060"/>
            <w:vAlign w:val="center"/>
            <w:hideMark/>
          </w:tcPr>
          <w:p w14:paraId="5D449B05" w14:textId="77777777" w:rsidR="00A25996" w:rsidRPr="008717EF" w:rsidRDefault="00A25996" w:rsidP="003225AE">
            <w:pPr>
              <w:pStyle w:val="TableHeading"/>
              <w:spacing w:before="120" w:after="120" w:line="360" w:lineRule="auto"/>
            </w:pPr>
            <w:r w:rsidRPr="008717EF">
              <w:t>Description</w:t>
            </w:r>
          </w:p>
        </w:tc>
        <w:tc>
          <w:tcPr>
            <w:tcW w:w="1347" w:type="dxa"/>
            <w:shd w:val="clear" w:color="auto" w:fill="002060"/>
            <w:vAlign w:val="center"/>
            <w:hideMark/>
          </w:tcPr>
          <w:p w14:paraId="2BFBEEF3" w14:textId="31FC8E13" w:rsidR="00A25996" w:rsidRPr="008717EF" w:rsidRDefault="00A25996" w:rsidP="003225AE">
            <w:pPr>
              <w:pStyle w:val="TableHeading"/>
              <w:spacing w:before="120" w:after="120" w:line="360" w:lineRule="auto"/>
            </w:pPr>
            <w:r w:rsidRPr="008717EF">
              <w:t>Minimum Attributed Beneficiaries</w:t>
            </w:r>
          </w:p>
        </w:tc>
        <w:tc>
          <w:tcPr>
            <w:tcW w:w="1443" w:type="dxa"/>
            <w:shd w:val="clear" w:color="auto" w:fill="002060"/>
            <w:vAlign w:val="center"/>
            <w:hideMark/>
          </w:tcPr>
          <w:p w14:paraId="7B0ABBD6" w14:textId="5F9CEDEB" w:rsidR="00A25996" w:rsidRPr="008717EF" w:rsidRDefault="00FE4950" w:rsidP="003225AE">
            <w:pPr>
              <w:pStyle w:val="TableHeading"/>
              <w:spacing w:before="120" w:after="120" w:line="360" w:lineRule="auto"/>
            </w:pPr>
            <w:r w:rsidRPr="008717EF">
              <w:t>202</w:t>
            </w:r>
            <w:r>
              <w:t>3</w:t>
            </w:r>
            <w:r w:rsidRPr="008717EF">
              <w:t xml:space="preserve"> </w:t>
            </w:r>
            <w:r w:rsidR="00A25996" w:rsidRPr="008717EF">
              <w:t>Target</w:t>
            </w:r>
          </w:p>
        </w:tc>
      </w:tr>
      <w:tr w:rsidR="00A25996" w:rsidRPr="008717EF" w14:paraId="396262B9" w14:textId="77777777" w:rsidTr="007D4257">
        <w:trPr>
          <w:trHeight w:val="300"/>
          <w:tblHeader/>
        </w:trPr>
        <w:tc>
          <w:tcPr>
            <w:tcW w:w="13045" w:type="dxa"/>
            <w:gridSpan w:val="6"/>
            <w:shd w:val="clear" w:color="auto" w:fill="BDD6EE" w:themeFill="accent1" w:themeFillTint="66"/>
            <w:noWrap/>
            <w:vAlign w:val="center"/>
            <w:hideMark/>
          </w:tcPr>
          <w:p w14:paraId="375E57FD" w14:textId="77777777" w:rsidR="00A25996" w:rsidRPr="008717EF" w:rsidRDefault="00A25996" w:rsidP="003225AE">
            <w:pPr>
              <w:pStyle w:val="TableHeading"/>
              <w:spacing w:before="120" w:after="120" w:line="360" w:lineRule="auto"/>
            </w:pPr>
            <w:r w:rsidRPr="008717EF">
              <w:t>Quality Metrics: Incentive Payment (Claims-Based)</w:t>
            </w:r>
          </w:p>
        </w:tc>
      </w:tr>
      <w:tr w:rsidR="005F5B27" w:rsidRPr="008717EF" w14:paraId="6876112E" w14:textId="77777777" w:rsidTr="007D4257">
        <w:trPr>
          <w:trHeight w:val="58"/>
        </w:trPr>
        <w:tc>
          <w:tcPr>
            <w:tcW w:w="1345" w:type="dxa"/>
            <w:vAlign w:val="center"/>
            <w:hideMark/>
          </w:tcPr>
          <w:p w14:paraId="0E721692" w14:textId="77777777" w:rsidR="005F5B27" w:rsidRPr="008717EF" w:rsidRDefault="005F5B27" w:rsidP="003225AE">
            <w:pPr>
              <w:spacing w:line="360" w:lineRule="auto"/>
              <w:jc w:val="center"/>
            </w:pPr>
            <w:r w:rsidRPr="008717EF">
              <w:t>1</w:t>
            </w:r>
          </w:p>
        </w:tc>
        <w:tc>
          <w:tcPr>
            <w:tcW w:w="1620" w:type="dxa"/>
            <w:vAlign w:val="center"/>
            <w:hideMark/>
          </w:tcPr>
          <w:p w14:paraId="49D89DD4" w14:textId="237E0330" w:rsidR="005F5B27" w:rsidRPr="008717EF" w:rsidRDefault="00EA320B" w:rsidP="003225AE">
            <w:pPr>
              <w:spacing w:line="360" w:lineRule="auto"/>
            </w:pPr>
            <w:r w:rsidRPr="008717EF">
              <w:t xml:space="preserve">PCP Visits for </w:t>
            </w:r>
            <w:r w:rsidR="004F2F5E" w:rsidRPr="008717EF">
              <w:t xml:space="preserve">High Priority </w:t>
            </w:r>
            <w:r w:rsidRPr="008717EF">
              <w:t xml:space="preserve">Beneficiaries </w:t>
            </w:r>
          </w:p>
        </w:tc>
        <w:tc>
          <w:tcPr>
            <w:tcW w:w="7290" w:type="dxa"/>
            <w:gridSpan w:val="2"/>
            <w:hideMark/>
          </w:tcPr>
          <w:p w14:paraId="162BB01A" w14:textId="2DAD2AF8" w:rsidR="005F5B27" w:rsidRPr="008717EF" w:rsidRDefault="005F5B27" w:rsidP="003225AE">
            <w:pPr>
              <w:spacing w:line="360" w:lineRule="auto"/>
            </w:pPr>
            <w:r w:rsidRPr="008717EF">
              <w:t xml:space="preserve">Percentage of a practice’s high priority beneficiaries who </w:t>
            </w:r>
            <w:r w:rsidR="00EA320B" w:rsidRPr="008717EF">
              <w:t>were</w:t>
            </w:r>
            <w:r w:rsidRPr="008717EF">
              <w:t xml:space="preserve"> seen by their PCMH at least twice </w:t>
            </w:r>
            <w:r w:rsidR="00EA320B" w:rsidRPr="008717EF">
              <w:t>during the measurement year</w:t>
            </w:r>
            <w:r w:rsidR="001270C9">
              <w:t xml:space="preserve"> </w:t>
            </w:r>
            <w:r w:rsidR="001270C9" w:rsidRPr="00504EA2">
              <w:rPr>
                <w:highlight w:val="yellow"/>
              </w:rPr>
              <w:t>with dates of service at least 14 days apart</w:t>
            </w:r>
            <w:r w:rsidR="00EA320B" w:rsidRPr="008717EF">
              <w:t xml:space="preserve"> </w:t>
            </w:r>
          </w:p>
        </w:tc>
        <w:tc>
          <w:tcPr>
            <w:tcW w:w="1347" w:type="dxa"/>
            <w:noWrap/>
            <w:vAlign w:val="center"/>
            <w:hideMark/>
          </w:tcPr>
          <w:p w14:paraId="250F8002" w14:textId="61348814" w:rsidR="005F5B27" w:rsidRPr="008717EF" w:rsidRDefault="001D6E58" w:rsidP="003225AE">
            <w:pPr>
              <w:spacing w:line="360" w:lineRule="auto"/>
              <w:jc w:val="center"/>
            </w:pPr>
            <w:r w:rsidRPr="008717EF">
              <w:rPr>
                <w:rFonts w:cs="Arial"/>
              </w:rPr>
              <w:t xml:space="preserve">≥ </w:t>
            </w:r>
            <w:r w:rsidR="005F5B27" w:rsidRPr="008717EF">
              <w:t>25</w:t>
            </w:r>
          </w:p>
        </w:tc>
        <w:tc>
          <w:tcPr>
            <w:tcW w:w="1443" w:type="dxa"/>
            <w:noWrap/>
            <w:vAlign w:val="center"/>
            <w:hideMark/>
          </w:tcPr>
          <w:p w14:paraId="5EAE86CB" w14:textId="62ACB855" w:rsidR="005F5B27" w:rsidRPr="008717EF" w:rsidRDefault="001D6E58" w:rsidP="003225AE">
            <w:pPr>
              <w:spacing w:line="360" w:lineRule="auto"/>
              <w:jc w:val="center"/>
            </w:pPr>
            <w:r w:rsidRPr="00504EA2">
              <w:rPr>
                <w:rFonts w:cs="Arial"/>
                <w:highlight w:val="yellow"/>
              </w:rPr>
              <w:t xml:space="preserve">≥ </w:t>
            </w:r>
            <w:r w:rsidR="00FE4950" w:rsidRPr="00504EA2">
              <w:rPr>
                <w:highlight w:val="yellow"/>
              </w:rPr>
              <w:t>87</w:t>
            </w:r>
            <w:r w:rsidR="005F5B27" w:rsidRPr="00504EA2">
              <w:rPr>
                <w:highlight w:val="yellow"/>
              </w:rPr>
              <w:t>%</w:t>
            </w:r>
          </w:p>
        </w:tc>
      </w:tr>
      <w:tr w:rsidR="005F5B27" w:rsidRPr="008717EF" w14:paraId="33342EE8" w14:textId="77777777" w:rsidTr="007D4257">
        <w:trPr>
          <w:trHeight w:val="125"/>
        </w:trPr>
        <w:tc>
          <w:tcPr>
            <w:tcW w:w="1345" w:type="dxa"/>
            <w:vAlign w:val="center"/>
            <w:hideMark/>
          </w:tcPr>
          <w:p w14:paraId="147E0015" w14:textId="77777777" w:rsidR="005F5B27" w:rsidRPr="008717EF" w:rsidRDefault="005F5B27" w:rsidP="003225AE">
            <w:pPr>
              <w:spacing w:line="360" w:lineRule="auto"/>
              <w:jc w:val="center"/>
            </w:pPr>
            <w:r w:rsidRPr="008717EF">
              <w:t>2</w:t>
            </w:r>
          </w:p>
        </w:tc>
        <w:tc>
          <w:tcPr>
            <w:tcW w:w="1620" w:type="dxa"/>
            <w:vAlign w:val="center"/>
            <w:hideMark/>
          </w:tcPr>
          <w:p w14:paraId="40D5EE76" w14:textId="32EF3B4C" w:rsidR="005F5B27" w:rsidRPr="008717EF" w:rsidRDefault="004F2F5E" w:rsidP="003225AE">
            <w:pPr>
              <w:spacing w:line="360" w:lineRule="auto"/>
            </w:pPr>
            <w:r w:rsidRPr="008717EF">
              <w:t>Well-Child Visits in the First 15 Months of Life (</w:t>
            </w:r>
            <w:r w:rsidR="00A9207D" w:rsidRPr="008717EF">
              <w:t>6</w:t>
            </w:r>
            <w:r w:rsidRPr="008717EF">
              <w:t>+ Visits)</w:t>
            </w:r>
          </w:p>
        </w:tc>
        <w:tc>
          <w:tcPr>
            <w:tcW w:w="7290" w:type="dxa"/>
            <w:gridSpan w:val="2"/>
            <w:hideMark/>
          </w:tcPr>
          <w:p w14:paraId="6A29ED9F" w14:textId="2A8D09E9" w:rsidR="005F5B27" w:rsidRPr="008717EF" w:rsidRDefault="005F5B27" w:rsidP="003225AE">
            <w:pPr>
              <w:spacing w:line="360" w:lineRule="auto"/>
            </w:pPr>
            <w:r w:rsidRPr="008717EF">
              <w:t xml:space="preserve">Percentage of beneficiaries who turned 15 months old during the performance period </w:t>
            </w:r>
            <w:r w:rsidR="00EA320B" w:rsidRPr="008717EF">
              <w:t xml:space="preserve">and who had </w:t>
            </w:r>
            <w:r w:rsidRPr="008717EF">
              <w:t xml:space="preserve">at least </w:t>
            </w:r>
            <w:r w:rsidR="00B32471" w:rsidRPr="008717EF">
              <w:t>six</w:t>
            </w:r>
            <w:r w:rsidR="00404B37" w:rsidRPr="008717EF">
              <w:t xml:space="preserve"> </w:t>
            </w:r>
            <w:r w:rsidR="004F2F5E" w:rsidRPr="008717EF">
              <w:t xml:space="preserve">well-child </w:t>
            </w:r>
            <w:r w:rsidRPr="008717EF">
              <w:t xml:space="preserve">visits </w:t>
            </w:r>
            <w:r w:rsidR="00EA320B" w:rsidRPr="008717EF">
              <w:t xml:space="preserve">during </w:t>
            </w:r>
            <w:r w:rsidRPr="008717EF">
              <w:t xml:space="preserve">their first 15 months </w:t>
            </w:r>
            <w:r w:rsidR="00EA320B" w:rsidRPr="008717EF">
              <w:t xml:space="preserve">of life </w:t>
            </w:r>
            <w:r w:rsidRPr="008717EF">
              <w:t xml:space="preserve">(0 – 15 months) </w:t>
            </w:r>
          </w:p>
        </w:tc>
        <w:tc>
          <w:tcPr>
            <w:tcW w:w="1347" w:type="dxa"/>
            <w:noWrap/>
            <w:vAlign w:val="center"/>
            <w:hideMark/>
          </w:tcPr>
          <w:p w14:paraId="658DD4E9" w14:textId="5D6D71A0" w:rsidR="005F5B27" w:rsidRPr="008717EF" w:rsidRDefault="001D6E58" w:rsidP="003225AE">
            <w:pPr>
              <w:spacing w:line="360" w:lineRule="auto"/>
              <w:jc w:val="center"/>
            </w:pPr>
            <w:r w:rsidRPr="008717EF">
              <w:rPr>
                <w:rFonts w:cs="Arial"/>
              </w:rPr>
              <w:t xml:space="preserve">≥ </w:t>
            </w:r>
            <w:r w:rsidR="005F5B27" w:rsidRPr="008717EF">
              <w:t>25</w:t>
            </w:r>
          </w:p>
        </w:tc>
        <w:tc>
          <w:tcPr>
            <w:tcW w:w="1443" w:type="dxa"/>
            <w:noWrap/>
            <w:vAlign w:val="center"/>
            <w:hideMark/>
          </w:tcPr>
          <w:p w14:paraId="0D2DDAEB" w14:textId="7FC2079B" w:rsidR="005F5B27" w:rsidRPr="008717EF" w:rsidRDefault="001D6E58" w:rsidP="003225AE">
            <w:pPr>
              <w:spacing w:line="360" w:lineRule="auto"/>
              <w:jc w:val="center"/>
            </w:pPr>
            <w:r w:rsidRPr="008717EF">
              <w:rPr>
                <w:rFonts w:cs="Arial"/>
              </w:rPr>
              <w:t xml:space="preserve">≥ </w:t>
            </w:r>
            <w:r w:rsidR="00A9207D" w:rsidRPr="008717EF">
              <w:t>56</w:t>
            </w:r>
            <w:r w:rsidR="005F5B27" w:rsidRPr="008717EF">
              <w:t>%</w:t>
            </w:r>
          </w:p>
        </w:tc>
      </w:tr>
      <w:tr w:rsidR="005F5B27" w:rsidRPr="008717EF" w14:paraId="5138AF11" w14:textId="77777777" w:rsidTr="007D4257">
        <w:trPr>
          <w:trHeight w:val="125"/>
        </w:trPr>
        <w:tc>
          <w:tcPr>
            <w:tcW w:w="1345" w:type="dxa"/>
            <w:vAlign w:val="center"/>
            <w:hideMark/>
          </w:tcPr>
          <w:p w14:paraId="73F84355" w14:textId="77777777" w:rsidR="005F5B27" w:rsidRPr="008717EF" w:rsidRDefault="005F5B27" w:rsidP="003225AE">
            <w:pPr>
              <w:spacing w:line="360" w:lineRule="auto"/>
              <w:jc w:val="center"/>
            </w:pPr>
            <w:r w:rsidRPr="008717EF">
              <w:lastRenderedPageBreak/>
              <w:t>3</w:t>
            </w:r>
          </w:p>
        </w:tc>
        <w:tc>
          <w:tcPr>
            <w:tcW w:w="1620" w:type="dxa"/>
            <w:vAlign w:val="center"/>
            <w:hideMark/>
          </w:tcPr>
          <w:p w14:paraId="163C17E8" w14:textId="2F4A5352" w:rsidR="005F5B27" w:rsidRPr="008717EF" w:rsidRDefault="004F2F5E" w:rsidP="003225AE">
            <w:pPr>
              <w:spacing w:line="360" w:lineRule="auto"/>
            </w:pPr>
            <w:r w:rsidRPr="008717EF">
              <w:t>Well-Child Visits</w:t>
            </w:r>
            <w:r w:rsidR="00EA320B" w:rsidRPr="008717EF">
              <w:t xml:space="preserve"> in the Third, Fourth, Fifth, and Sixth Years of Life</w:t>
            </w:r>
          </w:p>
        </w:tc>
        <w:tc>
          <w:tcPr>
            <w:tcW w:w="7290" w:type="dxa"/>
            <w:gridSpan w:val="2"/>
            <w:hideMark/>
          </w:tcPr>
          <w:p w14:paraId="1A6DD4DC" w14:textId="4B0B0EBA" w:rsidR="005F5B27" w:rsidRPr="008717EF" w:rsidRDefault="005F5B27" w:rsidP="003225AE">
            <w:pPr>
              <w:spacing w:line="360" w:lineRule="auto"/>
            </w:pPr>
            <w:r w:rsidRPr="008717EF">
              <w:t xml:space="preserve">Percentage of beneficiaries 3-6 who had one or more well-child visits during the measurement </w:t>
            </w:r>
            <w:r w:rsidR="00EA320B" w:rsidRPr="008717EF">
              <w:t>period</w:t>
            </w:r>
          </w:p>
        </w:tc>
        <w:tc>
          <w:tcPr>
            <w:tcW w:w="1347" w:type="dxa"/>
            <w:noWrap/>
            <w:vAlign w:val="center"/>
            <w:hideMark/>
          </w:tcPr>
          <w:p w14:paraId="028BAA88" w14:textId="784A7C7A" w:rsidR="005F5B27" w:rsidRPr="008717EF" w:rsidRDefault="001D6E58" w:rsidP="003225AE">
            <w:pPr>
              <w:spacing w:line="360" w:lineRule="auto"/>
              <w:jc w:val="center"/>
            </w:pPr>
            <w:r w:rsidRPr="008717EF">
              <w:rPr>
                <w:rFonts w:cs="Arial"/>
              </w:rPr>
              <w:t xml:space="preserve">≥ </w:t>
            </w:r>
            <w:r w:rsidR="005F5B27" w:rsidRPr="008717EF">
              <w:t>25</w:t>
            </w:r>
          </w:p>
        </w:tc>
        <w:tc>
          <w:tcPr>
            <w:tcW w:w="1443" w:type="dxa"/>
            <w:noWrap/>
            <w:vAlign w:val="center"/>
            <w:hideMark/>
          </w:tcPr>
          <w:p w14:paraId="4319D622" w14:textId="7DD53021" w:rsidR="005F5B27" w:rsidRPr="008717EF" w:rsidRDefault="001D6E58" w:rsidP="003225AE">
            <w:pPr>
              <w:spacing w:line="360" w:lineRule="auto"/>
              <w:jc w:val="center"/>
            </w:pPr>
            <w:r w:rsidRPr="008717EF">
              <w:rPr>
                <w:rFonts w:cs="Arial"/>
              </w:rPr>
              <w:t xml:space="preserve">≥ </w:t>
            </w:r>
            <w:r w:rsidR="005F5B27" w:rsidRPr="008717EF">
              <w:t>7</w:t>
            </w:r>
            <w:r w:rsidR="00671D2F" w:rsidRPr="008717EF">
              <w:t>5</w:t>
            </w:r>
            <w:r w:rsidR="005F5B27" w:rsidRPr="008717EF">
              <w:t>%</w:t>
            </w:r>
          </w:p>
        </w:tc>
      </w:tr>
      <w:tr w:rsidR="00A9207D" w:rsidRPr="008717EF" w14:paraId="2C772280" w14:textId="77777777" w:rsidTr="007D4257">
        <w:trPr>
          <w:trHeight w:val="125"/>
        </w:trPr>
        <w:tc>
          <w:tcPr>
            <w:tcW w:w="1345" w:type="dxa"/>
            <w:vAlign w:val="center"/>
          </w:tcPr>
          <w:p w14:paraId="4AC07E4D" w14:textId="42B38940" w:rsidR="00A9207D" w:rsidRPr="008717EF" w:rsidRDefault="00A9207D" w:rsidP="003225AE">
            <w:pPr>
              <w:spacing w:line="360" w:lineRule="auto"/>
              <w:jc w:val="center"/>
            </w:pPr>
            <w:r w:rsidRPr="008717EF">
              <w:t>4</w:t>
            </w:r>
          </w:p>
        </w:tc>
        <w:tc>
          <w:tcPr>
            <w:tcW w:w="1620" w:type="dxa"/>
            <w:vAlign w:val="center"/>
          </w:tcPr>
          <w:p w14:paraId="55BA3CB1" w14:textId="1375FE46" w:rsidR="00A9207D" w:rsidRPr="008717EF" w:rsidRDefault="00A9207D" w:rsidP="003225AE">
            <w:pPr>
              <w:spacing w:line="360" w:lineRule="auto"/>
            </w:pPr>
            <w:r w:rsidRPr="008717EF">
              <w:t xml:space="preserve">Well-Child Visits in the </w:t>
            </w:r>
            <w:r w:rsidR="00C15E98" w:rsidRPr="008717EF">
              <w:t>S</w:t>
            </w:r>
            <w:r w:rsidRPr="008717EF">
              <w:t xml:space="preserve">eventh, </w:t>
            </w:r>
            <w:r w:rsidR="00C15E98" w:rsidRPr="008717EF">
              <w:t>E</w:t>
            </w:r>
            <w:r w:rsidRPr="008717EF">
              <w:t xml:space="preserve">ighth, </w:t>
            </w:r>
            <w:r w:rsidR="00C15E98" w:rsidRPr="008717EF">
              <w:t>N</w:t>
            </w:r>
            <w:r w:rsidRPr="008717EF">
              <w:t xml:space="preserve">inth, </w:t>
            </w:r>
            <w:r w:rsidR="007D4257" w:rsidRPr="0019599F">
              <w:t>T</w:t>
            </w:r>
            <w:r w:rsidRPr="0019599F">
              <w:t xml:space="preserve">enth, </w:t>
            </w:r>
            <w:r w:rsidR="00C15E98" w:rsidRPr="0019599F">
              <w:t>and</w:t>
            </w:r>
            <w:r w:rsidRPr="0019599F">
              <w:t xml:space="preserve"> </w:t>
            </w:r>
            <w:r w:rsidR="00C15E98" w:rsidRPr="0019599F">
              <w:t>E</w:t>
            </w:r>
            <w:r w:rsidRPr="0019599F">
              <w:t xml:space="preserve">leventh </w:t>
            </w:r>
            <w:r w:rsidRPr="008717EF">
              <w:t>Years of Life</w:t>
            </w:r>
          </w:p>
        </w:tc>
        <w:tc>
          <w:tcPr>
            <w:tcW w:w="7290" w:type="dxa"/>
            <w:gridSpan w:val="2"/>
          </w:tcPr>
          <w:p w14:paraId="64B741A4" w14:textId="435AC174" w:rsidR="00A9207D" w:rsidRPr="008717EF" w:rsidRDefault="008F6ACA" w:rsidP="003225AE">
            <w:pPr>
              <w:spacing w:line="360" w:lineRule="auto"/>
            </w:pPr>
            <w:r w:rsidRPr="008717EF">
              <w:t>Percentage of beneficiaries 7-11 years of age who had at least one comprehensive well-care visit during the measurement period.</w:t>
            </w:r>
          </w:p>
        </w:tc>
        <w:tc>
          <w:tcPr>
            <w:tcW w:w="1347" w:type="dxa"/>
            <w:noWrap/>
            <w:vAlign w:val="center"/>
          </w:tcPr>
          <w:p w14:paraId="655E2DA2" w14:textId="70BFEC5C" w:rsidR="00A9207D" w:rsidRPr="008717EF" w:rsidRDefault="008F6ACA" w:rsidP="003225AE">
            <w:pPr>
              <w:spacing w:line="360" w:lineRule="auto"/>
              <w:jc w:val="center"/>
              <w:rPr>
                <w:rFonts w:cs="Arial"/>
              </w:rPr>
            </w:pPr>
            <w:r w:rsidRPr="008717EF">
              <w:rPr>
                <w:rFonts w:cs="Arial"/>
              </w:rPr>
              <w:t xml:space="preserve">≥ </w:t>
            </w:r>
            <w:r w:rsidRPr="008717EF">
              <w:t>25</w:t>
            </w:r>
          </w:p>
        </w:tc>
        <w:tc>
          <w:tcPr>
            <w:tcW w:w="1443" w:type="dxa"/>
            <w:noWrap/>
            <w:vAlign w:val="center"/>
          </w:tcPr>
          <w:p w14:paraId="69097FC2" w14:textId="4A7FB8AB" w:rsidR="00A9207D" w:rsidRPr="008717EF" w:rsidRDefault="00A9207D" w:rsidP="003225AE">
            <w:pPr>
              <w:spacing w:line="360" w:lineRule="auto"/>
              <w:jc w:val="center"/>
              <w:rPr>
                <w:rFonts w:cs="Arial"/>
              </w:rPr>
            </w:pPr>
            <w:r w:rsidRPr="008717EF">
              <w:rPr>
                <w:rFonts w:cs="Arial"/>
              </w:rPr>
              <w:t>≥ 60%</w:t>
            </w:r>
          </w:p>
        </w:tc>
      </w:tr>
      <w:tr w:rsidR="005F5B27" w:rsidRPr="008717EF" w14:paraId="5B6406FD" w14:textId="77777777" w:rsidTr="007D4257">
        <w:trPr>
          <w:trHeight w:val="58"/>
        </w:trPr>
        <w:tc>
          <w:tcPr>
            <w:tcW w:w="1345" w:type="dxa"/>
            <w:vAlign w:val="center"/>
            <w:hideMark/>
          </w:tcPr>
          <w:p w14:paraId="06A1126B" w14:textId="51AACEF3" w:rsidR="005F5B27" w:rsidRPr="008717EF" w:rsidRDefault="00A9207D" w:rsidP="003225AE">
            <w:pPr>
              <w:spacing w:line="360" w:lineRule="auto"/>
              <w:jc w:val="center"/>
            </w:pPr>
            <w:r w:rsidRPr="008717EF">
              <w:t>5</w:t>
            </w:r>
          </w:p>
        </w:tc>
        <w:tc>
          <w:tcPr>
            <w:tcW w:w="1620" w:type="dxa"/>
            <w:vAlign w:val="center"/>
            <w:hideMark/>
          </w:tcPr>
          <w:p w14:paraId="6C4C5448" w14:textId="743B7157" w:rsidR="005F5B27" w:rsidRPr="008717EF" w:rsidRDefault="005F5B27" w:rsidP="003225AE">
            <w:pPr>
              <w:spacing w:line="360" w:lineRule="auto"/>
            </w:pPr>
            <w:r w:rsidRPr="008717EF">
              <w:t xml:space="preserve">Adolescent </w:t>
            </w:r>
            <w:r w:rsidR="00807643" w:rsidRPr="008717EF">
              <w:t>Well-Care Visits</w:t>
            </w:r>
            <w:r w:rsidR="0047691B" w:rsidRPr="008717EF">
              <w:t xml:space="preserve"> (Age 12-20)</w:t>
            </w:r>
          </w:p>
        </w:tc>
        <w:tc>
          <w:tcPr>
            <w:tcW w:w="7290" w:type="dxa"/>
            <w:gridSpan w:val="2"/>
            <w:hideMark/>
          </w:tcPr>
          <w:p w14:paraId="474A3DF3" w14:textId="697FC82B" w:rsidR="005F5B27" w:rsidRPr="008717EF" w:rsidRDefault="005F5B27" w:rsidP="003225AE">
            <w:pPr>
              <w:spacing w:line="360" w:lineRule="auto"/>
            </w:pPr>
            <w:r w:rsidRPr="008717EF">
              <w:t xml:space="preserve">Percentage of </w:t>
            </w:r>
            <w:r w:rsidR="000B4161" w:rsidRPr="008717EF">
              <w:t xml:space="preserve">non-pregnant </w:t>
            </w:r>
            <w:r w:rsidRPr="008717EF">
              <w:t xml:space="preserve">beneficiaries </w:t>
            </w:r>
            <w:r w:rsidR="0047691B" w:rsidRPr="008717EF">
              <w:t xml:space="preserve">ages </w:t>
            </w:r>
            <w:r w:rsidRPr="008717EF">
              <w:t xml:space="preserve">12-20 who had </w:t>
            </w:r>
            <w:r w:rsidR="0047691B" w:rsidRPr="008717EF">
              <w:t xml:space="preserve">at least </w:t>
            </w:r>
            <w:r w:rsidRPr="008717EF">
              <w:t xml:space="preserve">one </w:t>
            </w:r>
            <w:r w:rsidR="0047691B" w:rsidRPr="008717EF">
              <w:t xml:space="preserve">comprehensive </w:t>
            </w:r>
            <w:r w:rsidRPr="008717EF">
              <w:t xml:space="preserve">well-care visit during the measurement </w:t>
            </w:r>
            <w:r w:rsidR="0047691B" w:rsidRPr="008717EF">
              <w:t>period</w:t>
            </w:r>
          </w:p>
        </w:tc>
        <w:tc>
          <w:tcPr>
            <w:tcW w:w="1347" w:type="dxa"/>
            <w:noWrap/>
            <w:vAlign w:val="center"/>
            <w:hideMark/>
          </w:tcPr>
          <w:p w14:paraId="06376D6C" w14:textId="4E506697" w:rsidR="005F5B27" w:rsidRPr="008717EF" w:rsidRDefault="001D6E58" w:rsidP="003225AE">
            <w:pPr>
              <w:spacing w:line="360" w:lineRule="auto"/>
              <w:jc w:val="center"/>
            </w:pPr>
            <w:r w:rsidRPr="008717EF">
              <w:rPr>
                <w:rFonts w:cs="Arial"/>
              </w:rPr>
              <w:t xml:space="preserve">≥ </w:t>
            </w:r>
            <w:r w:rsidR="005F5B27" w:rsidRPr="008717EF">
              <w:t>25</w:t>
            </w:r>
          </w:p>
        </w:tc>
        <w:tc>
          <w:tcPr>
            <w:tcW w:w="1443" w:type="dxa"/>
            <w:noWrap/>
            <w:vAlign w:val="center"/>
            <w:hideMark/>
          </w:tcPr>
          <w:p w14:paraId="176D690E" w14:textId="28C76A98" w:rsidR="005F5B27" w:rsidRPr="008717EF" w:rsidRDefault="001D6E58" w:rsidP="003225AE">
            <w:pPr>
              <w:spacing w:line="360" w:lineRule="auto"/>
              <w:jc w:val="center"/>
            </w:pPr>
            <w:r w:rsidRPr="008717EF">
              <w:rPr>
                <w:rFonts w:cs="Arial"/>
              </w:rPr>
              <w:t xml:space="preserve">≥ </w:t>
            </w:r>
            <w:r w:rsidR="005F5B27" w:rsidRPr="008717EF">
              <w:t>5</w:t>
            </w:r>
            <w:r w:rsidR="00671D2F" w:rsidRPr="008717EF">
              <w:t>7</w:t>
            </w:r>
            <w:r w:rsidR="005F5B27" w:rsidRPr="008717EF">
              <w:t>%</w:t>
            </w:r>
          </w:p>
        </w:tc>
      </w:tr>
      <w:tr w:rsidR="005F5B27" w:rsidRPr="008717EF" w14:paraId="0DD94B7C" w14:textId="77777777" w:rsidTr="007D4257">
        <w:trPr>
          <w:trHeight w:val="58"/>
        </w:trPr>
        <w:tc>
          <w:tcPr>
            <w:tcW w:w="1345" w:type="dxa"/>
            <w:vAlign w:val="center"/>
            <w:hideMark/>
          </w:tcPr>
          <w:p w14:paraId="276D0E00" w14:textId="20D2340B" w:rsidR="005F5B27" w:rsidRPr="008717EF" w:rsidRDefault="00A9207D" w:rsidP="003225AE">
            <w:pPr>
              <w:spacing w:line="360" w:lineRule="auto"/>
              <w:jc w:val="center"/>
            </w:pPr>
            <w:r w:rsidRPr="008717EF">
              <w:t>6</w:t>
            </w:r>
          </w:p>
        </w:tc>
        <w:tc>
          <w:tcPr>
            <w:tcW w:w="1620" w:type="dxa"/>
            <w:vAlign w:val="center"/>
            <w:hideMark/>
          </w:tcPr>
          <w:p w14:paraId="1DBED3AB" w14:textId="060AA5A2" w:rsidR="005F5B27" w:rsidRPr="008717EF" w:rsidRDefault="00D25115" w:rsidP="003225AE">
            <w:pPr>
              <w:spacing w:line="360" w:lineRule="auto"/>
            </w:pPr>
            <w:r w:rsidRPr="008717EF">
              <w:t>Oral Antibiotic Utilization</w:t>
            </w:r>
          </w:p>
        </w:tc>
        <w:tc>
          <w:tcPr>
            <w:tcW w:w="7290" w:type="dxa"/>
            <w:gridSpan w:val="2"/>
            <w:hideMark/>
          </w:tcPr>
          <w:p w14:paraId="3CCB0D68" w14:textId="1A1B45A5" w:rsidR="005F5B27" w:rsidRPr="008717EF" w:rsidRDefault="00D25115" w:rsidP="003225AE">
            <w:pPr>
              <w:spacing w:line="360" w:lineRule="auto"/>
            </w:pPr>
            <w:r w:rsidRPr="008717EF">
              <w:t>Number of oral antibiotic prescriptions per 1,000 attributed beneficiaries during the measurement period</w:t>
            </w:r>
            <w:r w:rsidR="00AC0681" w:rsidRPr="008717EF">
              <w:t>.</w:t>
            </w:r>
            <w:r w:rsidRPr="008717EF">
              <w:t xml:space="preserve"> </w:t>
            </w:r>
          </w:p>
        </w:tc>
        <w:tc>
          <w:tcPr>
            <w:tcW w:w="1347" w:type="dxa"/>
            <w:noWrap/>
            <w:vAlign w:val="center"/>
            <w:hideMark/>
          </w:tcPr>
          <w:p w14:paraId="54CE10CB" w14:textId="0E2EA74E" w:rsidR="005F5B27" w:rsidRPr="008717EF" w:rsidRDefault="001D6E58" w:rsidP="003225AE">
            <w:pPr>
              <w:spacing w:line="360" w:lineRule="auto"/>
              <w:jc w:val="center"/>
            </w:pPr>
            <w:r w:rsidRPr="008717EF">
              <w:rPr>
                <w:rFonts w:cs="Arial"/>
              </w:rPr>
              <w:t xml:space="preserve">≥ </w:t>
            </w:r>
            <w:r w:rsidR="005F5B27" w:rsidRPr="008717EF">
              <w:t>25</w:t>
            </w:r>
          </w:p>
        </w:tc>
        <w:tc>
          <w:tcPr>
            <w:tcW w:w="1443" w:type="dxa"/>
            <w:noWrap/>
            <w:vAlign w:val="center"/>
            <w:hideMark/>
          </w:tcPr>
          <w:p w14:paraId="00671690" w14:textId="17288832" w:rsidR="005F5B27" w:rsidRPr="00504EA2" w:rsidRDefault="00B023C6" w:rsidP="003225AE">
            <w:pPr>
              <w:spacing w:line="360" w:lineRule="auto"/>
              <w:jc w:val="center"/>
              <w:rPr>
                <w:highlight w:val="yellow"/>
              </w:rPr>
            </w:pPr>
            <w:r w:rsidRPr="00504EA2">
              <w:rPr>
                <w:highlight w:val="yellow"/>
              </w:rPr>
              <w:t>≤</w:t>
            </w:r>
            <w:r w:rsidR="00C1412A" w:rsidRPr="00504EA2">
              <w:rPr>
                <w:highlight w:val="yellow"/>
              </w:rPr>
              <w:t xml:space="preserve"> </w:t>
            </w:r>
            <w:r w:rsidR="00056B7F" w:rsidRPr="00504EA2">
              <w:rPr>
                <w:highlight w:val="yellow"/>
              </w:rPr>
              <w:t>1,100</w:t>
            </w:r>
          </w:p>
        </w:tc>
      </w:tr>
      <w:tr w:rsidR="005F5B27" w:rsidRPr="008717EF" w14:paraId="5C8821E4" w14:textId="77777777" w:rsidTr="007D4257">
        <w:trPr>
          <w:trHeight w:val="58"/>
        </w:trPr>
        <w:tc>
          <w:tcPr>
            <w:tcW w:w="1345" w:type="dxa"/>
            <w:vAlign w:val="center"/>
            <w:hideMark/>
          </w:tcPr>
          <w:p w14:paraId="0DE4FD80" w14:textId="3B2355D3" w:rsidR="005F5B27" w:rsidRPr="008717EF" w:rsidRDefault="00A9207D" w:rsidP="003225AE">
            <w:pPr>
              <w:spacing w:line="360" w:lineRule="auto"/>
              <w:jc w:val="center"/>
            </w:pPr>
            <w:r w:rsidRPr="008717EF">
              <w:lastRenderedPageBreak/>
              <w:t>7</w:t>
            </w:r>
          </w:p>
        </w:tc>
        <w:tc>
          <w:tcPr>
            <w:tcW w:w="1620" w:type="dxa"/>
            <w:vAlign w:val="center"/>
            <w:hideMark/>
          </w:tcPr>
          <w:p w14:paraId="24DDDE16" w14:textId="60B89947" w:rsidR="005F5B27" w:rsidRPr="008717EF" w:rsidRDefault="005F39A8" w:rsidP="003225AE">
            <w:pPr>
              <w:spacing w:line="360" w:lineRule="auto"/>
            </w:pPr>
            <w:r w:rsidRPr="008717EF">
              <w:t>Chlamydia Screening in Women</w:t>
            </w:r>
          </w:p>
        </w:tc>
        <w:tc>
          <w:tcPr>
            <w:tcW w:w="7200" w:type="dxa"/>
            <w:hideMark/>
          </w:tcPr>
          <w:p w14:paraId="6E9DA983" w14:textId="07C2A88D" w:rsidR="005F5B27" w:rsidRPr="008717EF" w:rsidRDefault="00424D79" w:rsidP="003225AE">
            <w:pPr>
              <w:spacing w:line="360" w:lineRule="auto"/>
            </w:pPr>
            <w:r w:rsidRPr="008717EF">
              <w:t>Percentage of women ages 16-24 who were identified as sexually active and who had at least one test for chlamydia during the measurement period.</w:t>
            </w:r>
            <w:r w:rsidRPr="008717EF" w:rsidDel="005F39A8">
              <w:t xml:space="preserve"> </w:t>
            </w:r>
          </w:p>
        </w:tc>
        <w:tc>
          <w:tcPr>
            <w:tcW w:w="1437" w:type="dxa"/>
            <w:gridSpan w:val="2"/>
            <w:noWrap/>
            <w:vAlign w:val="center"/>
            <w:hideMark/>
          </w:tcPr>
          <w:p w14:paraId="317CF749" w14:textId="100CCD69" w:rsidR="005F5B27" w:rsidRPr="008717EF" w:rsidRDefault="001D6E58" w:rsidP="003225AE">
            <w:pPr>
              <w:spacing w:line="360" w:lineRule="auto"/>
              <w:jc w:val="center"/>
            </w:pPr>
            <w:r w:rsidRPr="008717EF">
              <w:rPr>
                <w:rFonts w:cs="Arial"/>
              </w:rPr>
              <w:t xml:space="preserve">≥ </w:t>
            </w:r>
            <w:r w:rsidR="005F5B27" w:rsidRPr="008717EF">
              <w:t>25</w:t>
            </w:r>
          </w:p>
        </w:tc>
        <w:tc>
          <w:tcPr>
            <w:tcW w:w="1443" w:type="dxa"/>
            <w:noWrap/>
            <w:vAlign w:val="center"/>
            <w:hideMark/>
          </w:tcPr>
          <w:p w14:paraId="22276631" w14:textId="08FDAE8C" w:rsidR="005F5B27" w:rsidRPr="008717EF" w:rsidRDefault="005F39A8" w:rsidP="003225AE">
            <w:pPr>
              <w:spacing w:line="360" w:lineRule="auto"/>
              <w:jc w:val="center"/>
            </w:pPr>
            <w:r w:rsidRPr="00504EA2">
              <w:rPr>
                <w:rFonts w:cs="Arial"/>
                <w:highlight w:val="yellow"/>
              </w:rPr>
              <w:t>≥</w:t>
            </w:r>
            <w:r w:rsidR="00C1412A" w:rsidRPr="00504EA2">
              <w:rPr>
                <w:highlight w:val="yellow"/>
              </w:rPr>
              <w:t xml:space="preserve"> </w:t>
            </w:r>
            <w:r w:rsidR="005F647F" w:rsidRPr="00504EA2">
              <w:rPr>
                <w:highlight w:val="yellow"/>
              </w:rPr>
              <w:t>49</w:t>
            </w:r>
            <w:r w:rsidR="005F5B27" w:rsidRPr="00504EA2">
              <w:rPr>
                <w:highlight w:val="yellow"/>
              </w:rPr>
              <w:t>%</w:t>
            </w:r>
          </w:p>
        </w:tc>
      </w:tr>
      <w:tr w:rsidR="005F5B27" w:rsidRPr="008717EF" w14:paraId="49DC81F1" w14:textId="77777777" w:rsidTr="007D4257">
        <w:trPr>
          <w:trHeight w:val="540"/>
        </w:trPr>
        <w:tc>
          <w:tcPr>
            <w:tcW w:w="1345" w:type="dxa"/>
            <w:vAlign w:val="center"/>
            <w:hideMark/>
          </w:tcPr>
          <w:p w14:paraId="6D891B97" w14:textId="55A05299" w:rsidR="005F5B27" w:rsidRPr="008717EF" w:rsidRDefault="00A9207D" w:rsidP="003225AE">
            <w:pPr>
              <w:spacing w:line="360" w:lineRule="auto"/>
              <w:jc w:val="center"/>
            </w:pPr>
            <w:r w:rsidRPr="008717EF">
              <w:t>8</w:t>
            </w:r>
          </w:p>
        </w:tc>
        <w:tc>
          <w:tcPr>
            <w:tcW w:w="1620" w:type="dxa"/>
            <w:vAlign w:val="center"/>
            <w:hideMark/>
          </w:tcPr>
          <w:p w14:paraId="3FF4620C" w14:textId="6A532D65" w:rsidR="005F5B27" w:rsidRPr="008717EF" w:rsidRDefault="007F14D3" w:rsidP="003225AE">
            <w:pPr>
              <w:spacing w:line="360" w:lineRule="auto"/>
            </w:pPr>
            <w:r w:rsidRPr="008717EF">
              <w:t>Cervical Cancer Screening</w:t>
            </w:r>
          </w:p>
        </w:tc>
        <w:tc>
          <w:tcPr>
            <w:tcW w:w="7200" w:type="dxa"/>
            <w:hideMark/>
          </w:tcPr>
          <w:p w14:paraId="17968C9B" w14:textId="77777777" w:rsidR="00F7394F" w:rsidRPr="008717EF" w:rsidRDefault="00F7394F" w:rsidP="00F7394F">
            <w:pPr>
              <w:spacing w:line="360" w:lineRule="auto"/>
            </w:pPr>
            <w:r w:rsidRPr="008717EF">
              <w:t>Percentage of women ages 21 to 64 who were screened for cervical cancer using either of the following criteria:</w:t>
            </w:r>
          </w:p>
          <w:p w14:paraId="059CD614" w14:textId="77777777" w:rsidR="00F7394F" w:rsidRPr="008717EF" w:rsidRDefault="00F7394F" w:rsidP="00F7394F">
            <w:pPr>
              <w:spacing w:line="360" w:lineRule="auto"/>
            </w:pPr>
            <w:r w:rsidRPr="008717EF">
              <w:t>• Women ages 21 to 64 who had cervical cytology performed within the last 3 years</w:t>
            </w:r>
          </w:p>
          <w:p w14:paraId="6CCD607B" w14:textId="77777777" w:rsidR="00F7394F" w:rsidRPr="008717EF" w:rsidRDefault="00F7394F" w:rsidP="00F7394F">
            <w:pPr>
              <w:spacing w:line="360" w:lineRule="auto"/>
            </w:pPr>
            <w:r w:rsidRPr="008717EF">
              <w:t>• Women ages 30 to 64 who had cervical high-risk human papillomavirus (hrHPV) testing performed within the last 5 years</w:t>
            </w:r>
          </w:p>
          <w:p w14:paraId="1D62394F" w14:textId="32F4A57A" w:rsidR="005F5B27" w:rsidRPr="008717EF" w:rsidRDefault="00F7394F" w:rsidP="00F7394F">
            <w:pPr>
              <w:spacing w:line="360" w:lineRule="auto"/>
            </w:pPr>
            <w:r w:rsidRPr="008717EF">
              <w:t>• Women ages 30 to 64 who had cervical cytology/high-risk human papillomavirus (hrHPV) cotesting within the last 5 years.</w:t>
            </w:r>
          </w:p>
        </w:tc>
        <w:tc>
          <w:tcPr>
            <w:tcW w:w="1437" w:type="dxa"/>
            <w:gridSpan w:val="2"/>
            <w:noWrap/>
            <w:vAlign w:val="center"/>
            <w:hideMark/>
          </w:tcPr>
          <w:p w14:paraId="5C3D4219" w14:textId="44D2B47C" w:rsidR="005F5B27" w:rsidRPr="008717EF" w:rsidRDefault="001D6E58" w:rsidP="003225AE">
            <w:pPr>
              <w:spacing w:line="360" w:lineRule="auto"/>
              <w:jc w:val="center"/>
            </w:pPr>
            <w:r w:rsidRPr="008717EF">
              <w:rPr>
                <w:rFonts w:cs="Arial"/>
              </w:rPr>
              <w:t xml:space="preserve">≥ </w:t>
            </w:r>
            <w:r w:rsidR="005F5B27" w:rsidRPr="008717EF">
              <w:t>25</w:t>
            </w:r>
          </w:p>
        </w:tc>
        <w:tc>
          <w:tcPr>
            <w:tcW w:w="1443" w:type="dxa"/>
            <w:noWrap/>
            <w:vAlign w:val="center"/>
            <w:hideMark/>
          </w:tcPr>
          <w:p w14:paraId="351D8DFA" w14:textId="071DF62C" w:rsidR="005F5B27" w:rsidRPr="008717EF" w:rsidRDefault="007F14D3" w:rsidP="003225AE">
            <w:pPr>
              <w:spacing w:line="360" w:lineRule="auto"/>
              <w:jc w:val="center"/>
            </w:pPr>
            <w:r w:rsidRPr="00504EA2">
              <w:rPr>
                <w:rFonts w:cs="Arial"/>
                <w:highlight w:val="yellow"/>
              </w:rPr>
              <w:t>≥</w:t>
            </w:r>
            <w:r w:rsidRPr="00504EA2">
              <w:rPr>
                <w:highlight w:val="yellow"/>
              </w:rPr>
              <w:t xml:space="preserve"> </w:t>
            </w:r>
            <w:r w:rsidR="005F647F" w:rsidRPr="00504EA2">
              <w:rPr>
                <w:highlight w:val="yellow"/>
              </w:rPr>
              <w:t>40</w:t>
            </w:r>
            <w:r w:rsidRPr="00504EA2">
              <w:rPr>
                <w:highlight w:val="yellow"/>
              </w:rPr>
              <w:t>%</w:t>
            </w:r>
          </w:p>
        </w:tc>
      </w:tr>
      <w:tr w:rsidR="00B5346C" w:rsidRPr="008717EF" w14:paraId="4699E44E" w14:textId="77777777" w:rsidTr="007D4257">
        <w:trPr>
          <w:trHeight w:val="540"/>
        </w:trPr>
        <w:tc>
          <w:tcPr>
            <w:tcW w:w="1345" w:type="dxa"/>
            <w:vAlign w:val="center"/>
          </w:tcPr>
          <w:p w14:paraId="6A063C14" w14:textId="0FEEB224" w:rsidR="00B5346C" w:rsidRPr="008717EF" w:rsidRDefault="00A9207D" w:rsidP="00B5346C">
            <w:pPr>
              <w:spacing w:line="360" w:lineRule="auto"/>
              <w:jc w:val="center"/>
            </w:pPr>
            <w:r w:rsidRPr="008717EF">
              <w:t>9</w:t>
            </w:r>
          </w:p>
        </w:tc>
        <w:tc>
          <w:tcPr>
            <w:tcW w:w="1620" w:type="dxa"/>
            <w:vAlign w:val="center"/>
          </w:tcPr>
          <w:p w14:paraId="0C3BC1E1" w14:textId="21F741B9" w:rsidR="00B5346C" w:rsidRPr="008717EF" w:rsidRDefault="00B5346C" w:rsidP="00B5346C">
            <w:pPr>
              <w:spacing w:line="360" w:lineRule="auto"/>
            </w:pPr>
            <w:r w:rsidRPr="008717EF">
              <w:t>Breast Cancer Screening</w:t>
            </w:r>
          </w:p>
        </w:tc>
        <w:tc>
          <w:tcPr>
            <w:tcW w:w="7200" w:type="dxa"/>
          </w:tcPr>
          <w:p w14:paraId="6B899CD1" w14:textId="25A110E1" w:rsidR="00B5346C" w:rsidRPr="008717EF" w:rsidRDefault="00B5346C" w:rsidP="00B5346C">
            <w:pPr>
              <w:spacing w:line="360" w:lineRule="auto"/>
            </w:pPr>
            <w:r w:rsidRPr="008717EF">
              <w:t>Percentage of women 50–74 years of age who had a mammogram to screen for breast cancer.</w:t>
            </w:r>
          </w:p>
        </w:tc>
        <w:tc>
          <w:tcPr>
            <w:tcW w:w="1437" w:type="dxa"/>
            <w:gridSpan w:val="2"/>
            <w:noWrap/>
            <w:vAlign w:val="center"/>
          </w:tcPr>
          <w:p w14:paraId="1951F417" w14:textId="5E76B7F9" w:rsidR="00B5346C" w:rsidRPr="008717EF" w:rsidRDefault="001A1D5C" w:rsidP="00B5346C">
            <w:pPr>
              <w:spacing w:line="360" w:lineRule="auto"/>
              <w:jc w:val="center"/>
              <w:rPr>
                <w:rFonts w:cs="Arial"/>
              </w:rPr>
            </w:pPr>
            <w:r w:rsidRPr="008717EF">
              <w:rPr>
                <w:rFonts w:cs="Arial"/>
              </w:rPr>
              <w:t xml:space="preserve">≥ </w:t>
            </w:r>
            <w:r w:rsidRPr="008717EF">
              <w:t>25</w:t>
            </w:r>
          </w:p>
        </w:tc>
        <w:tc>
          <w:tcPr>
            <w:tcW w:w="1443" w:type="dxa"/>
            <w:noWrap/>
            <w:vAlign w:val="center"/>
          </w:tcPr>
          <w:p w14:paraId="780DDB10" w14:textId="18C690F4" w:rsidR="00B5346C" w:rsidRPr="008717EF" w:rsidRDefault="001A1D5C" w:rsidP="00B5346C">
            <w:pPr>
              <w:spacing w:line="360" w:lineRule="auto"/>
              <w:jc w:val="center"/>
              <w:rPr>
                <w:rFonts w:cs="Arial"/>
              </w:rPr>
            </w:pPr>
            <w:r w:rsidRPr="008717EF">
              <w:rPr>
                <w:rFonts w:cs="Arial"/>
              </w:rPr>
              <w:t>≥ 41%</w:t>
            </w:r>
          </w:p>
        </w:tc>
      </w:tr>
      <w:tr w:rsidR="00B5346C" w:rsidRPr="008717EF" w14:paraId="4960CCD4" w14:textId="77777777" w:rsidTr="007D4257">
        <w:trPr>
          <w:trHeight w:val="70"/>
        </w:trPr>
        <w:tc>
          <w:tcPr>
            <w:tcW w:w="13045" w:type="dxa"/>
            <w:gridSpan w:val="6"/>
            <w:shd w:val="clear" w:color="auto" w:fill="BDD6EE"/>
            <w:vAlign w:val="center"/>
          </w:tcPr>
          <w:p w14:paraId="2B71D763" w14:textId="76D4DB0B" w:rsidR="00B5346C" w:rsidRPr="008717EF" w:rsidRDefault="00B5346C" w:rsidP="00B5346C">
            <w:pPr>
              <w:pStyle w:val="TableHeading"/>
              <w:spacing w:before="120" w:after="120" w:line="360" w:lineRule="auto"/>
            </w:pPr>
            <w:r w:rsidRPr="008717EF">
              <w:t>eCQMs Quality Metrics: w/Target</w:t>
            </w:r>
          </w:p>
        </w:tc>
      </w:tr>
      <w:tr w:rsidR="00B5346C" w:rsidRPr="008717EF" w14:paraId="7B447A88" w14:textId="77777777" w:rsidTr="007D4257">
        <w:trPr>
          <w:trHeight w:val="58"/>
        </w:trPr>
        <w:tc>
          <w:tcPr>
            <w:tcW w:w="1345" w:type="dxa"/>
            <w:vAlign w:val="center"/>
          </w:tcPr>
          <w:p w14:paraId="219EAF05" w14:textId="028D9459" w:rsidR="00B5346C" w:rsidRPr="008717EF" w:rsidRDefault="00A9207D" w:rsidP="00B5346C">
            <w:pPr>
              <w:spacing w:line="360" w:lineRule="auto"/>
              <w:jc w:val="center"/>
            </w:pPr>
            <w:r w:rsidRPr="008717EF">
              <w:t>10</w:t>
            </w:r>
          </w:p>
        </w:tc>
        <w:tc>
          <w:tcPr>
            <w:tcW w:w="1620" w:type="dxa"/>
            <w:vAlign w:val="center"/>
          </w:tcPr>
          <w:p w14:paraId="5FAD09AA" w14:textId="1BFFE987" w:rsidR="00B5346C" w:rsidRPr="008717EF" w:rsidRDefault="00B5346C" w:rsidP="00B5346C">
            <w:pPr>
              <w:spacing w:line="360" w:lineRule="auto"/>
            </w:pPr>
            <w:r w:rsidRPr="008717EF">
              <w:t>Controlling High Blood Pressure</w:t>
            </w:r>
          </w:p>
        </w:tc>
        <w:tc>
          <w:tcPr>
            <w:tcW w:w="7200" w:type="dxa"/>
          </w:tcPr>
          <w:p w14:paraId="0C58971A" w14:textId="2C4594D0" w:rsidR="00B5346C" w:rsidRPr="008717EF" w:rsidRDefault="00B5346C" w:rsidP="00B5346C">
            <w:pPr>
              <w:spacing w:line="360" w:lineRule="auto"/>
            </w:pPr>
            <w:r w:rsidRPr="008717EF">
              <w:t xml:space="preserve">Percentage of patients 18-85 years of age who had a diagnosis of hypertension overlapping the measurement period or the year prior to the measurement </w:t>
            </w:r>
            <w:r w:rsidRPr="008717EF">
              <w:lastRenderedPageBreak/>
              <w:t>period, and whose most recent blood pressure was adequately controlled (&lt;140/90mmHg) during the measurement period (All payer source).</w:t>
            </w:r>
          </w:p>
        </w:tc>
        <w:tc>
          <w:tcPr>
            <w:tcW w:w="1437" w:type="dxa"/>
            <w:gridSpan w:val="2"/>
            <w:noWrap/>
            <w:vAlign w:val="center"/>
          </w:tcPr>
          <w:p w14:paraId="3DA979D7" w14:textId="2FDDF7FA" w:rsidR="00B5346C" w:rsidRPr="008717EF" w:rsidRDefault="00B5346C" w:rsidP="00B5346C">
            <w:pPr>
              <w:spacing w:line="360" w:lineRule="auto"/>
              <w:jc w:val="center"/>
            </w:pPr>
            <w:r w:rsidRPr="008717EF">
              <w:rPr>
                <w:rFonts w:cs="Arial"/>
              </w:rPr>
              <w:lastRenderedPageBreak/>
              <w:t xml:space="preserve">≥ </w:t>
            </w:r>
            <w:r w:rsidRPr="008717EF">
              <w:t>25</w:t>
            </w:r>
          </w:p>
        </w:tc>
        <w:tc>
          <w:tcPr>
            <w:tcW w:w="1443" w:type="dxa"/>
            <w:noWrap/>
            <w:vAlign w:val="center"/>
          </w:tcPr>
          <w:p w14:paraId="29B40C31" w14:textId="3AE75686" w:rsidR="00B5346C" w:rsidRPr="008717EF" w:rsidRDefault="00B5346C" w:rsidP="00B5346C">
            <w:pPr>
              <w:spacing w:line="360" w:lineRule="auto"/>
              <w:jc w:val="center"/>
            </w:pPr>
            <w:r w:rsidRPr="008717EF">
              <w:rPr>
                <w:rFonts w:cs="Arial"/>
              </w:rPr>
              <w:t xml:space="preserve">≥ </w:t>
            </w:r>
            <w:r w:rsidRPr="008717EF">
              <w:t>64%</w:t>
            </w:r>
          </w:p>
        </w:tc>
      </w:tr>
      <w:tr w:rsidR="00B5346C" w:rsidRPr="008717EF" w14:paraId="1BC66D1E" w14:textId="77777777" w:rsidTr="007D4257">
        <w:trPr>
          <w:trHeight w:val="58"/>
        </w:trPr>
        <w:tc>
          <w:tcPr>
            <w:tcW w:w="1345" w:type="dxa"/>
            <w:vAlign w:val="center"/>
          </w:tcPr>
          <w:p w14:paraId="0D1D9F3B" w14:textId="0C80C8DE" w:rsidR="00B5346C" w:rsidRPr="008717EF" w:rsidRDefault="00A9207D" w:rsidP="00B5346C">
            <w:pPr>
              <w:spacing w:line="360" w:lineRule="auto"/>
              <w:jc w:val="center"/>
            </w:pPr>
            <w:r w:rsidRPr="008717EF">
              <w:t>11</w:t>
            </w:r>
          </w:p>
        </w:tc>
        <w:tc>
          <w:tcPr>
            <w:tcW w:w="1620" w:type="dxa"/>
            <w:vAlign w:val="center"/>
          </w:tcPr>
          <w:p w14:paraId="44725C98" w14:textId="0E4A6A01" w:rsidR="00B5346C" w:rsidRPr="008717EF" w:rsidRDefault="00B5346C" w:rsidP="00B5346C">
            <w:pPr>
              <w:spacing w:line="360" w:lineRule="auto"/>
            </w:pPr>
            <w:r w:rsidRPr="008717EF">
              <w:t>Comprehensive Diabetes Care: HbA1c Poor Control (&gt; 9.0%)</w:t>
            </w:r>
          </w:p>
        </w:tc>
        <w:tc>
          <w:tcPr>
            <w:tcW w:w="7200" w:type="dxa"/>
          </w:tcPr>
          <w:p w14:paraId="72571BF7" w14:textId="65EAFB87" w:rsidR="00B5346C" w:rsidRPr="008717EF" w:rsidRDefault="00B5346C" w:rsidP="00B5346C">
            <w:pPr>
              <w:spacing w:line="360" w:lineRule="auto"/>
            </w:pPr>
            <w:r w:rsidRPr="008717EF">
              <w:t>Percentage of patients 18-75 years of age with diabetes who had hemoglobin A1c &gt; 9.0% during the measurement period (All payer source).</w:t>
            </w:r>
          </w:p>
        </w:tc>
        <w:tc>
          <w:tcPr>
            <w:tcW w:w="1437" w:type="dxa"/>
            <w:gridSpan w:val="2"/>
            <w:noWrap/>
            <w:vAlign w:val="center"/>
          </w:tcPr>
          <w:p w14:paraId="12D8D063" w14:textId="3DB78498" w:rsidR="00B5346C" w:rsidRPr="008717EF" w:rsidRDefault="00B5346C" w:rsidP="00B5346C">
            <w:pPr>
              <w:spacing w:line="360" w:lineRule="auto"/>
              <w:jc w:val="center"/>
            </w:pPr>
            <w:r w:rsidRPr="008717EF">
              <w:rPr>
                <w:rFonts w:cs="Arial"/>
              </w:rPr>
              <w:t xml:space="preserve">≥ </w:t>
            </w:r>
            <w:r w:rsidRPr="008717EF">
              <w:t>25</w:t>
            </w:r>
          </w:p>
        </w:tc>
        <w:tc>
          <w:tcPr>
            <w:tcW w:w="1443" w:type="dxa"/>
            <w:noWrap/>
            <w:vAlign w:val="center"/>
          </w:tcPr>
          <w:p w14:paraId="22BF30F8" w14:textId="2379AA23" w:rsidR="00B5346C" w:rsidRPr="008717EF" w:rsidRDefault="00B5346C" w:rsidP="00B5346C">
            <w:pPr>
              <w:spacing w:line="360" w:lineRule="auto"/>
              <w:jc w:val="center"/>
            </w:pPr>
            <w:r w:rsidRPr="00504EA2">
              <w:rPr>
                <w:highlight w:val="yellow"/>
              </w:rPr>
              <w:t xml:space="preserve">≤ </w:t>
            </w:r>
            <w:r w:rsidR="005F647F" w:rsidRPr="00504EA2">
              <w:rPr>
                <w:highlight w:val="yellow"/>
              </w:rPr>
              <w:t>27</w:t>
            </w:r>
            <w:r w:rsidRPr="00504EA2">
              <w:rPr>
                <w:highlight w:val="yellow"/>
              </w:rPr>
              <w:t>%</w:t>
            </w:r>
          </w:p>
        </w:tc>
      </w:tr>
      <w:tr w:rsidR="00B5346C" w:rsidRPr="008717EF" w14:paraId="0F314809" w14:textId="77777777" w:rsidTr="007D4257">
        <w:trPr>
          <w:trHeight w:val="58"/>
        </w:trPr>
        <w:tc>
          <w:tcPr>
            <w:tcW w:w="1345" w:type="dxa"/>
            <w:vAlign w:val="center"/>
            <w:hideMark/>
          </w:tcPr>
          <w:p w14:paraId="2654D544" w14:textId="43A69869" w:rsidR="00B5346C" w:rsidRPr="008717EF" w:rsidRDefault="00A9207D" w:rsidP="00B5346C">
            <w:pPr>
              <w:spacing w:line="360" w:lineRule="auto"/>
              <w:jc w:val="center"/>
            </w:pPr>
            <w:r w:rsidRPr="008717EF">
              <w:t>12</w:t>
            </w:r>
          </w:p>
        </w:tc>
        <w:tc>
          <w:tcPr>
            <w:tcW w:w="1620" w:type="dxa"/>
            <w:vAlign w:val="center"/>
            <w:hideMark/>
          </w:tcPr>
          <w:p w14:paraId="1F86627A" w14:textId="0A1C5150" w:rsidR="00B5346C" w:rsidRPr="008717EF" w:rsidRDefault="00B5346C" w:rsidP="00B5346C">
            <w:pPr>
              <w:spacing w:line="360" w:lineRule="auto"/>
            </w:pPr>
            <w:r w:rsidRPr="008717EF">
              <w:t>Tobacco Use: Screening and Cessation Intervention</w:t>
            </w:r>
          </w:p>
        </w:tc>
        <w:tc>
          <w:tcPr>
            <w:tcW w:w="7200" w:type="dxa"/>
            <w:hideMark/>
          </w:tcPr>
          <w:p w14:paraId="017CB4D2" w14:textId="543B5CEF" w:rsidR="00B5346C" w:rsidRPr="008717EF" w:rsidRDefault="00B5346C" w:rsidP="00B5346C">
            <w:pPr>
              <w:spacing w:line="360" w:lineRule="auto"/>
            </w:pPr>
            <w:r w:rsidRPr="008717EF">
              <w:t>Percentage of patients aged 18 years and older who were screened for tobacco use one or more times within 12 months AND who received cessation intervention counseling if identified as a tobacco user (All payer source).</w:t>
            </w:r>
          </w:p>
        </w:tc>
        <w:tc>
          <w:tcPr>
            <w:tcW w:w="1437" w:type="dxa"/>
            <w:gridSpan w:val="2"/>
            <w:noWrap/>
            <w:vAlign w:val="center"/>
            <w:hideMark/>
          </w:tcPr>
          <w:p w14:paraId="28318F3E" w14:textId="6BF38BDE" w:rsidR="00B5346C" w:rsidRPr="008717EF" w:rsidRDefault="00B5346C" w:rsidP="00B5346C">
            <w:pPr>
              <w:spacing w:line="360" w:lineRule="auto"/>
              <w:jc w:val="center"/>
            </w:pPr>
            <w:r w:rsidRPr="008717EF">
              <w:rPr>
                <w:rFonts w:cs="Arial"/>
              </w:rPr>
              <w:t xml:space="preserve">≥ </w:t>
            </w:r>
            <w:r w:rsidRPr="008717EF">
              <w:t>25</w:t>
            </w:r>
          </w:p>
        </w:tc>
        <w:tc>
          <w:tcPr>
            <w:tcW w:w="1443" w:type="dxa"/>
            <w:noWrap/>
            <w:vAlign w:val="center"/>
            <w:hideMark/>
          </w:tcPr>
          <w:p w14:paraId="105104C9" w14:textId="78604C18" w:rsidR="00B5346C" w:rsidRPr="008717EF" w:rsidRDefault="00B5346C" w:rsidP="00B5346C">
            <w:pPr>
              <w:spacing w:line="360" w:lineRule="auto"/>
              <w:jc w:val="center"/>
            </w:pPr>
            <w:r w:rsidRPr="008717EF">
              <w:rPr>
                <w:rFonts w:cs="Arial"/>
              </w:rPr>
              <w:t xml:space="preserve">≥ </w:t>
            </w:r>
            <w:r w:rsidRPr="008717EF">
              <w:t>80%</w:t>
            </w:r>
          </w:p>
        </w:tc>
      </w:tr>
    </w:tbl>
    <w:p w14:paraId="70A53528" w14:textId="77777777" w:rsidR="00A25996" w:rsidRPr="008717EF" w:rsidRDefault="00A25996" w:rsidP="003225AE">
      <w:pPr>
        <w:spacing w:line="360" w:lineRule="auto"/>
      </w:pPr>
    </w:p>
    <w:p w14:paraId="0CF5245A" w14:textId="77777777" w:rsidR="00A25996" w:rsidRPr="008717EF" w:rsidRDefault="00A25996" w:rsidP="003225AE">
      <w:pPr>
        <w:spacing w:line="360" w:lineRule="auto"/>
        <w:sectPr w:rsidR="00A25996" w:rsidRPr="008717EF" w:rsidSect="00BB1ECF">
          <w:headerReference w:type="even" r:id="rId41"/>
          <w:headerReference w:type="default" r:id="rId42"/>
          <w:headerReference w:type="first" r:id="rId43"/>
          <w:pgSz w:w="15840" w:h="12240" w:orient="landscape"/>
          <w:pgMar w:top="1440" w:right="1440" w:bottom="1440" w:left="1440" w:header="720" w:footer="720" w:gutter="0"/>
          <w:cols w:space="720"/>
          <w:docGrid w:linePitch="360"/>
        </w:sectPr>
      </w:pPr>
      <w:bookmarkStart w:id="77" w:name="_Toc519170531"/>
    </w:p>
    <w:p w14:paraId="4E7221D2" w14:textId="77777777" w:rsidR="00A25996" w:rsidRPr="008717EF" w:rsidRDefault="00A25996" w:rsidP="003225AE">
      <w:pPr>
        <w:pStyle w:val="Heading2"/>
        <w:numPr>
          <w:ilvl w:val="0"/>
          <w:numId w:val="0"/>
        </w:numPr>
        <w:spacing w:before="120" w:line="360" w:lineRule="auto"/>
        <w:ind w:left="576" w:hanging="576"/>
      </w:pPr>
      <w:bookmarkStart w:id="78" w:name="_Practice_Support:_Body"/>
      <w:bookmarkStart w:id="79" w:name="_Informational_Metrics"/>
      <w:bookmarkStart w:id="80" w:name="_Toc113888479"/>
      <w:bookmarkEnd w:id="30"/>
      <w:bookmarkEnd w:id="31"/>
      <w:bookmarkEnd w:id="77"/>
      <w:bookmarkEnd w:id="78"/>
      <w:bookmarkEnd w:id="79"/>
      <w:r w:rsidRPr="008717EF">
        <w:lastRenderedPageBreak/>
        <w:t>Informational Metrics</w:t>
      </w:r>
      <w:bookmarkEnd w:id="80"/>
    </w:p>
    <w:p w14:paraId="063C8314" w14:textId="5F677BBB" w:rsidR="00A25996" w:rsidRPr="007D4257" w:rsidRDefault="00A25996" w:rsidP="003225AE">
      <w:pPr>
        <w:spacing w:line="360" w:lineRule="auto"/>
        <w:rPr>
          <w:color w:val="FF0000"/>
          <w:lang w:eastAsia="ja-JP"/>
        </w:rPr>
      </w:pPr>
      <w:r w:rsidRPr="008717EF">
        <w:rPr>
          <w:lang w:eastAsia="ja-JP"/>
        </w:rPr>
        <w:t>DMS assesses the following informational metrics tracked for the PCMH program. The Informational Metrics are reported as “claims-based metrics” with at least the minimum number of attributed beneficiaries in the category described for the majority of the performance period on the PCMH provider report. All eCQM Informational Metrics are due through the Provider Portal by January 31,</w:t>
      </w:r>
      <w:r w:rsidRPr="00A33FC0">
        <w:rPr>
          <w:lang w:eastAsia="ja-JP"/>
        </w:rPr>
        <w:t xml:space="preserve"> 202</w:t>
      </w:r>
      <w:r w:rsidR="007D4257" w:rsidRPr="00A33FC0">
        <w:rPr>
          <w:strike/>
          <w:lang w:eastAsia="ja-JP"/>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617"/>
        <w:gridCol w:w="10333"/>
      </w:tblGrid>
      <w:tr w:rsidR="00146D29" w:rsidRPr="008717EF" w14:paraId="72C26C36" w14:textId="77777777" w:rsidTr="00BB1ECF">
        <w:trPr>
          <w:tblHeader/>
        </w:trPr>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5A7D5547" w14:textId="77777777" w:rsidR="00A25996" w:rsidRPr="008717EF" w:rsidRDefault="00A25996" w:rsidP="003225AE">
            <w:pPr>
              <w:pStyle w:val="TableHeading"/>
              <w:spacing w:before="120" w:after="120" w:line="360" w:lineRule="auto"/>
            </w:pPr>
            <w:r w:rsidRPr="008717EF">
              <w:t>Metric</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tcPr>
          <w:p w14:paraId="153D7BC8" w14:textId="77777777" w:rsidR="00A25996" w:rsidRPr="008717EF" w:rsidRDefault="00A25996" w:rsidP="003225AE">
            <w:pPr>
              <w:pStyle w:val="TableHeading"/>
              <w:spacing w:before="120" w:after="120" w:line="360" w:lineRule="auto"/>
            </w:pPr>
            <w:r w:rsidRPr="008717EF">
              <w:t>Description</w:t>
            </w:r>
          </w:p>
        </w:tc>
      </w:tr>
      <w:tr w:rsidR="00A25996" w:rsidRPr="008717EF" w14:paraId="4CCA83CA" w14:textId="77777777" w:rsidTr="00BB1ECF">
        <w:trPr>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7BE5B8A" w14:textId="77777777" w:rsidR="00A25996" w:rsidRPr="008717EF" w:rsidRDefault="00A25996" w:rsidP="003225AE">
            <w:pPr>
              <w:pStyle w:val="TableHeading"/>
              <w:spacing w:before="120" w:after="120" w:line="360" w:lineRule="auto"/>
            </w:pPr>
            <w:r w:rsidRPr="008717EF">
              <w:t>Informational Metrics: w/PCMH State Averages (Claims-Based)</w:t>
            </w:r>
          </w:p>
        </w:tc>
      </w:tr>
      <w:tr w:rsidR="00146D29" w:rsidRPr="008717EF" w14:paraId="0CE5CEE5" w14:textId="77777777" w:rsidTr="00BB1ECF">
        <w:tc>
          <w:tcPr>
            <w:tcW w:w="0" w:type="auto"/>
            <w:tcBorders>
              <w:top w:val="single" w:sz="4" w:space="0" w:color="auto"/>
              <w:left w:val="single" w:sz="4" w:space="0" w:color="auto"/>
              <w:bottom w:val="single" w:sz="4" w:space="0" w:color="auto"/>
              <w:right w:val="single" w:sz="4" w:space="0" w:color="auto"/>
            </w:tcBorders>
            <w:hideMark/>
          </w:tcPr>
          <w:p w14:paraId="67406085" w14:textId="7E4EB23F" w:rsidR="005D42ED" w:rsidRPr="008717EF" w:rsidRDefault="005D42ED" w:rsidP="00DB29A6">
            <w:pPr>
              <w:pStyle w:val="TableText"/>
            </w:pPr>
            <w:r w:rsidRPr="008717EF">
              <w:t>Asthma Medication Ratio (</w:t>
            </w:r>
            <w:r w:rsidR="00146D29" w:rsidRPr="008717EF">
              <w:t>Ages</w:t>
            </w:r>
            <w:r w:rsidR="00011593" w:rsidRPr="008717EF">
              <w:t xml:space="preserve"> </w:t>
            </w:r>
            <w:r w:rsidR="00F01D74" w:rsidRPr="008717EF">
              <w:t>19-6</w:t>
            </w:r>
            <w:r w:rsidR="00011593" w:rsidRPr="008717EF">
              <w:t>4</w:t>
            </w:r>
            <w:r w:rsidRPr="008717EF">
              <w:t>)</w:t>
            </w:r>
          </w:p>
        </w:tc>
        <w:tc>
          <w:tcPr>
            <w:tcW w:w="0" w:type="auto"/>
            <w:tcBorders>
              <w:top w:val="single" w:sz="4" w:space="0" w:color="auto"/>
              <w:left w:val="single" w:sz="4" w:space="0" w:color="auto"/>
              <w:bottom w:val="single" w:sz="4" w:space="0" w:color="auto"/>
              <w:right w:val="single" w:sz="4" w:space="0" w:color="auto"/>
            </w:tcBorders>
          </w:tcPr>
          <w:p w14:paraId="2BC3AD8D" w14:textId="118C804C" w:rsidR="005D42ED" w:rsidRPr="008717EF" w:rsidRDefault="005D42ED" w:rsidP="00DB29A6">
            <w:pPr>
              <w:pStyle w:val="TableText"/>
            </w:pPr>
            <w:r w:rsidRPr="008717EF">
              <w:t xml:space="preserve">Percentage of beneficiaries </w:t>
            </w:r>
            <w:r w:rsidR="00170B90" w:rsidRPr="008717EF">
              <w:t>19</w:t>
            </w:r>
            <w:r w:rsidRPr="008717EF">
              <w:t>–</w:t>
            </w:r>
            <w:r w:rsidR="00170B90" w:rsidRPr="008717EF">
              <w:t xml:space="preserve">64 </w:t>
            </w:r>
            <w:r w:rsidRPr="008717EF">
              <w:t>years of age who were identified as having persistent asthma and had a ratio of controller medications to total asthma medications of 0.50 or greater during the measurement year</w:t>
            </w:r>
          </w:p>
        </w:tc>
      </w:tr>
      <w:tr w:rsidR="00146D29" w:rsidRPr="008717EF" w14:paraId="60CD98A2" w14:textId="77777777" w:rsidTr="00BB1ECF">
        <w:tc>
          <w:tcPr>
            <w:tcW w:w="0" w:type="auto"/>
            <w:tcBorders>
              <w:top w:val="single" w:sz="4" w:space="0" w:color="auto"/>
              <w:left w:val="single" w:sz="4" w:space="0" w:color="auto"/>
              <w:bottom w:val="single" w:sz="4" w:space="0" w:color="auto"/>
              <w:right w:val="single" w:sz="4" w:space="0" w:color="auto"/>
            </w:tcBorders>
          </w:tcPr>
          <w:p w14:paraId="1E3233A6" w14:textId="53B7D7B7" w:rsidR="005D42ED" w:rsidRPr="008717EF" w:rsidRDefault="005D42ED" w:rsidP="00DB29A6">
            <w:pPr>
              <w:pStyle w:val="TableText"/>
            </w:pPr>
            <w:r w:rsidRPr="008717EF">
              <w:t>Asthma Medication Ratio (</w:t>
            </w:r>
            <w:r w:rsidR="00146D29" w:rsidRPr="008717EF">
              <w:t xml:space="preserve">Ages </w:t>
            </w:r>
            <w:r w:rsidR="00011593" w:rsidRPr="008717EF">
              <w:t>5-18</w:t>
            </w:r>
            <w:r w:rsidRPr="008717EF">
              <w:t>)</w:t>
            </w:r>
          </w:p>
        </w:tc>
        <w:tc>
          <w:tcPr>
            <w:tcW w:w="0" w:type="auto"/>
            <w:tcBorders>
              <w:top w:val="single" w:sz="4" w:space="0" w:color="auto"/>
              <w:left w:val="single" w:sz="4" w:space="0" w:color="auto"/>
              <w:bottom w:val="single" w:sz="4" w:space="0" w:color="auto"/>
              <w:right w:val="single" w:sz="4" w:space="0" w:color="auto"/>
            </w:tcBorders>
          </w:tcPr>
          <w:p w14:paraId="06F42F77" w14:textId="19121686" w:rsidR="005D42ED" w:rsidRPr="008717EF" w:rsidRDefault="005D42ED" w:rsidP="00DB29A6">
            <w:pPr>
              <w:pStyle w:val="TableText"/>
            </w:pPr>
            <w:r w:rsidRPr="008717EF">
              <w:t xml:space="preserve">Percentage of beneficiaries </w:t>
            </w:r>
            <w:r w:rsidR="00170B90" w:rsidRPr="008717EF">
              <w:t>5</w:t>
            </w:r>
            <w:r w:rsidRPr="008717EF">
              <w:t>–</w:t>
            </w:r>
            <w:r w:rsidR="00170B90" w:rsidRPr="008717EF">
              <w:t xml:space="preserve">18 </w:t>
            </w:r>
            <w:r w:rsidRPr="008717EF">
              <w:t>years of age who were identified as having persistent asthma and had a ratio of controller medications to total asthma medications of 0.50 or greater during the measurement year</w:t>
            </w:r>
          </w:p>
        </w:tc>
      </w:tr>
      <w:tr w:rsidR="006F1399" w:rsidRPr="008717EF" w14:paraId="7F2767E2" w14:textId="77777777" w:rsidTr="00102F8F">
        <w:tc>
          <w:tcPr>
            <w:tcW w:w="0" w:type="auto"/>
            <w:tcBorders>
              <w:top w:val="single" w:sz="4" w:space="0" w:color="auto"/>
              <w:left w:val="single" w:sz="4" w:space="0" w:color="auto"/>
              <w:bottom w:val="single" w:sz="4" w:space="0" w:color="auto"/>
              <w:right w:val="single" w:sz="4" w:space="0" w:color="auto"/>
            </w:tcBorders>
            <w:vAlign w:val="center"/>
          </w:tcPr>
          <w:p w14:paraId="0C4F07B0" w14:textId="3B0DB194" w:rsidR="006F1399" w:rsidRPr="008717EF" w:rsidDel="00B5346C" w:rsidRDefault="006F1399" w:rsidP="00DB29A6">
            <w:pPr>
              <w:pStyle w:val="TableText"/>
            </w:pPr>
            <w:r w:rsidRPr="008717EF">
              <w:t>Body Mass Index</w:t>
            </w:r>
          </w:p>
        </w:tc>
        <w:tc>
          <w:tcPr>
            <w:tcW w:w="0" w:type="auto"/>
            <w:tcBorders>
              <w:top w:val="single" w:sz="4" w:space="0" w:color="auto"/>
              <w:left w:val="single" w:sz="4" w:space="0" w:color="auto"/>
              <w:bottom w:val="single" w:sz="4" w:space="0" w:color="auto"/>
              <w:right w:val="single" w:sz="4" w:space="0" w:color="auto"/>
            </w:tcBorders>
            <w:vAlign w:val="center"/>
          </w:tcPr>
          <w:p w14:paraId="4EE69678" w14:textId="119C177F" w:rsidR="006F1399" w:rsidRPr="008717EF" w:rsidDel="00B5346C" w:rsidRDefault="006F1399" w:rsidP="00DB29A6">
            <w:pPr>
              <w:pStyle w:val="TableText"/>
            </w:pPr>
            <w:r w:rsidRPr="008717EF">
              <w:t>Percentage of patients 3-17 years of age who had an outpatient visit with a Primary Care Physician (PCP) or Obstetrician/Gynecologist (OB/GYN) and who had evidence of height, weight, and body mass index (BMI) percentile documentation during the measurement period.</w:t>
            </w:r>
          </w:p>
        </w:tc>
      </w:tr>
      <w:tr w:rsidR="00146D29" w:rsidRPr="008717EF" w14:paraId="60DA3085" w14:textId="77777777" w:rsidTr="00BB1ECF">
        <w:tc>
          <w:tcPr>
            <w:tcW w:w="0" w:type="auto"/>
            <w:tcBorders>
              <w:top w:val="single" w:sz="4" w:space="0" w:color="auto"/>
              <w:left w:val="single" w:sz="4" w:space="0" w:color="auto"/>
              <w:bottom w:val="single" w:sz="4" w:space="0" w:color="auto"/>
              <w:right w:val="single" w:sz="4" w:space="0" w:color="auto"/>
            </w:tcBorders>
          </w:tcPr>
          <w:p w14:paraId="5EC7A0D8" w14:textId="5C184A77" w:rsidR="00A25996" w:rsidRPr="008717EF" w:rsidRDefault="00A25996" w:rsidP="00DB29A6">
            <w:pPr>
              <w:pStyle w:val="TableText"/>
            </w:pPr>
            <w:r w:rsidRPr="008717EF">
              <w:t>Diabetes Short-Term Complications</w:t>
            </w:r>
            <w:r w:rsidR="00146D29" w:rsidRPr="008717EF">
              <w:t xml:space="preserve"> Admission Rate</w:t>
            </w:r>
          </w:p>
        </w:tc>
        <w:tc>
          <w:tcPr>
            <w:tcW w:w="0" w:type="auto"/>
            <w:tcBorders>
              <w:top w:val="single" w:sz="4" w:space="0" w:color="auto"/>
              <w:left w:val="single" w:sz="4" w:space="0" w:color="auto"/>
              <w:bottom w:val="single" w:sz="4" w:space="0" w:color="auto"/>
              <w:right w:val="single" w:sz="4" w:space="0" w:color="auto"/>
            </w:tcBorders>
          </w:tcPr>
          <w:p w14:paraId="2B727408" w14:textId="271FC3CD" w:rsidR="00A25996" w:rsidRPr="008717EF" w:rsidRDefault="00A25996" w:rsidP="00DB29A6">
            <w:pPr>
              <w:pStyle w:val="TableText"/>
            </w:pPr>
            <w:r w:rsidRPr="008717EF">
              <w:t>Number of inpatient hospital admissions for diabetes short-term complications (ketoacidosis, hyperosmolarity, or coma) per 100,000 enrollee months for beneficiaries age 18 and older</w:t>
            </w:r>
            <w:r w:rsidR="007C6CF7" w:rsidRPr="008717EF">
              <w:t>.</w:t>
            </w:r>
          </w:p>
        </w:tc>
      </w:tr>
      <w:tr w:rsidR="00146D29" w:rsidRPr="008717EF" w14:paraId="480D76B9" w14:textId="77777777" w:rsidTr="00BB1ECF">
        <w:tc>
          <w:tcPr>
            <w:tcW w:w="0" w:type="auto"/>
            <w:tcBorders>
              <w:top w:val="single" w:sz="4" w:space="0" w:color="auto"/>
              <w:left w:val="single" w:sz="4" w:space="0" w:color="auto"/>
              <w:bottom w:val="single" w:sz="4" w:space="0" w:color="auto"/>
              <w:right w:val="single" w:sz="4" w:space="0" w:color="auto"/>
            </w:tcBorders>
          </w:tcPr>
          <w:p w14:paraId="2D844173" w14:textId="061C8205" w:rsidR="00A25996" w:rsidRPr="008717EF" w:rsidRDefault="00A25996" w:rsidP="00DB29A6">
            <w:pPr>
              <w:pStyle w:val="TableText"/>
            </w:pPr>
            <w:r w:rsidRPr="008717EF">
              <w:t xml:space="preserve">COPD or Asthma </w:t>
            </w:r>
            <w:r w:rsidR="00146D29" w:rsidRPr="008717EF">
              <w:t xml:space="preserve">in Older Adults </w:t>
            </w:r>
            <w:r w:rsidRPr="008717EF">
              <w:t>Admission</w:t>
            </w:r>
            <w:r w:rsidR="00146D29" w:rsidRPr="008717EF">
              <w:t xml:space="preserve"> Rate</w:t>
            </w:r>
          </w:p>
        </w:tc>
        <w:tc>
          <w:tcPr>
            <w:tcW w:w="0" w:type="auto"/>
            <w:tcBorders>
              <w:top w:val="single" w:sz="4" w:space="0" w:color="auto"/>
              <w:left w:val="single" w:sz="4" w:space="0" w:color="auto"/>
              <w:bottom w:val="single" w:sz="4" w:space="0" w:color="auto"/>
              <w:right w:val="single" w:sz="4" w:space="0" w:color="auto"/>
            </w:tcBorders>
          </w:tcPr>
          <w:p w14:paraId="45CF982B" w14:textId="2D3AE7CA" w:rsidR="00A25996" w:rsidRPr="008717EF" w:rsidRDefault="00A25996" w:rsidP="00DB29A6">
            <w:pPr>
              <w:pStyle w:val="TableText"/>
            </w:pPr>
            <w:r w:rsidRPr="008717EF">
              <w:t>Number of inpatient hospital admissions for chronic obstructive pulmonary disease (COPD) or asthma per 100,000 enrollee months for beneficiaries age 40 and older</w:t>
            </w:r>
            <w:r w:rsidR="007C6CF7" w:rsidRPr="008717EF">
              <w:t>.</w:t>
            </w:r>
          </w:p>
        </w:tc>
      </w:tr>
    </w:tbl>
    <w:p w14:paraId="21B42A79" w14:textId="77777777" w:rsidR="005D42ED" w:rsidRPr="008717EF" w:rsidRDefault="005D42ED" w:rsidP="003225A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064"/>
        <w:gridCol w:w="9886"/>
      </w:tblGrid>
      <w:tr w:rsidR="00595DAF" w:rsidRPr="008717EF" w14:paraId="3632174E" w14:textId="77777777" w:rsidTr="00BB1ECF">
        <w:tc>
          <w:tcPr>
            <w:tcW w:w="0" w:type="auto"/>
            <w:tcBorders>
              <w:top w:val="single" w:sz="4" w:space="0" w:color="auto"/>
              <w:left w:val="single" w:sz="4" w:space="0" w:color="auto"/>
              <w:bottom w:val="single" w:sz="4" w:space="0" w:color="auto"/>
              <w:right w:val="single" w:sz="4" w:space="0" w:color="auto"/>
            </w:tcBorders>
            <w:shd w:val="clear" w:color="auto" w:fill="002060"/>
          </w:tcPr>
          <w:p w14:paraId="0AC6911D" w14:textId="77777777" w:rsidR="00A25996" w:rsidRPr="008717EF" w:rsidRDefault="00A25996" w:rsidP="00DB29A6">
            <w:pPr>
              <w:pStyle w:val="TableText"/>
            </w:pPr>
            <w:r w:rsidRPr="008717EF">
              <w:lastRenderedPageBreak/>
              <w:t>Metric</w:t>
            </w:r>
          </w:p>
        </w:tc>
        <w:tc>
          <w:tcPr>
            <w:tcW w:w="0" w:type="auto"/>
            <w:tcBorders>
              <w:top w:val="single" w:sz="4" w:space="0" w:color="auto"/>
              <w:left w:val="single" w:sz="4" w:space="0" w:color="auto"/>
              <w:bottom w:val="single" w:sz="4" w:space="0" w:color="auto"/>
              <w:right w:val="single" w:sz="4" w:space="0" w:color="auto"/>
            </w:tcBorders>
            <w:shd w:val="clear" w:color="auto" w:fill="002060"/>
          </w:tcPr>
          <w:p w14:paraId="7EB9BA6E" w14:textId="77777777" w:rsidR="00A25996" w:rsidRPr="008717EF" w:rsidRDefault="00A25996" w:rsidP="00DB29A6">
            <w:pPr>
              <w:pStyle w:val="TableText"/>
            </w:pPr>
            <w:r w:rsidRPr="008717EF">
              <w:t>Description</w:t>
            </w:r>
          </w:p>
        </w:tc>
      </w:tr>
      <w:tr w:rsidR="00A25996" w:rsidRPr="008717EF" w14:paraId="487E0462" w14:textId="77777777" w:rsidTr="00BB1ECF">
        <w:trPr>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AB4E33A" w14:textId="77777777" w:rsidR="00A25996" w:rsidRPr="008717EF" w:rsidRDefault="00A25996" w:rsidP="003225AE">
            <w:pPr>
              <w:pStyle w:val="TableHeading"/>
              <w:spacing w:before="120" w:after="120" w:line="360" w:lineRule="auto"/>
            </w:pPr>
            <w:r w:rsidRPr="008717EF">
              <w:t>Informational Metrics: w/PCMH State Averages (Claims-Based)</w:t>
            </w:r>
          </w:p>
        </w:tc>
      </w:tr>
      <w:tr w:rsidR="00595DAF" w:rsidRPr="008717EF" w14:paraId="17AEB6FD" w14:textId="77777777" w:rsidTr="00BB1ECF">
        <w:tc>
          <w:tcPr>
            <w:tcW w:w="0" w:type="auto"/>
            <w:tcBorders>
              <w:top w:val="single" w:sz="4" w:space="0" w:color="auto"/>
              <w:left w:val="single" w:sz="4" w:space="0" w:color="auto"/>
              <w:bottom w:val="single" w:sz="4" w:space="0" w:color="auto"/>
              <w:right w:val="single" w:sz="4" w:space="0" w:color="auto"/>
            </w:tcBorders>
          </w:tcPr>
          <w:p w14:paraId="6654602C" w14:textId="0DBCA1F4" w:rsidR="00A25996" w:rsidRPr="008717EF" w:rsidRDefault="00A25996" w:rsidP="00DB29A6">
            <w:pPr>
              <w:pStyle w:val="TableText"/>
            </w:pPr>
            <w:r w:rsidRPr="008717EF">
              <w:t>HIV Viral Load</w:t>
            </w:r>
            <w:r w:rsidR="00770589" w:rsidRPr="008717EF">
              <w:t xml:space="preserve"> Test</w:t>
            </w:r>
          </w:p>
        </w:tc>
        <w:tc>
          <w:tcPr>
            <w:tcW w:w="0" w:type="auto"/>
            <w:tcBorders>
              <w:top w:val="single" w:sz="4" w:space="0" w:color="auto"/>
              <w:left w:val="single" w:sz="4" w:space="0" w:color="auto"/>
              <w:bottom w:val="single" w:sz="4" w:space="0" w:color="auto"/>
              <w:right w:val="single" w:sz="4" w:space="0" w:color="auto"/>
            </w:tcBorders>
          </w:tcPr>
          <w:p w14:paraId="4DFA557F" w14:textId="414EA470" w:rsidR="00A25996" w:rsidRPr="008717EF" w:rsidRDefault="00A25996" w:rsidP="00DB29A6">
            <w:pPr>
              <w:pStyle w:val="TableText"/>
            </w:pPr>
            <w:r w:rsidRPr="008717EF">
              <w:t xml:space="preserve">Percentage of beneficiaries with HIV </w:t>
            </w:r>
            <w:r w:rsidR="00170B90" w:rsidRPr="008717EF">
              <w:t xml:space="preserve">who received an </w:t>
            </w:r>
            <w:r w:rsidRPr="008717EF">
              <w:t xml:space="preserve">HIV viral load test during the measurement </w:t>
            </w:r>
            <w:r w:rsidR="00170B90" w:rsidRPr="008717EF">
              <w:t>period</w:t>
            </w:r>
          </w:p>
        </w:tc>
      </w:tr>
      <w:tr w:rsidR="00595DAF" w:rsidRPr="008717EF" w:rsidDel="00011593" w14:paraId="3D693815" w14:textId="77777777" w:rsidTr="00BB1ECF">
        <w:tc>
          <w:tcPr>
            <w:tcW w:w="0" w:type="auto"/>
            <w:tcBorders>
              <w:top w:val="single" w:sz="4" w:space="0" w:color="auto"/>
              <w:left w:val="single" w:sz="4" w:space="0" w:color="auto"/>
              <w:bottom w:val="single" w:sz="4" w:space="0" w:color="auto"/>
              <w:right w:val="single" w:sz="4" w:space="0" w:color="auto"/>
            </w:tcBorders>
            <w:vAlign w:val="center"/>
          </w:tcPr>
          <w:p w14:paraId="44DF1114" w14:textId="7C12F90D" w:rsidR="009C067B" w:rsidRPr="008717EF" w:rsidDel="00102F8F" w:rsidRDefault="00781A84" w:rsidP="00DB29A6">
            <w:pPr>
              <w:pStyle w:val="TableText"/>
            </w:pPr>
            <w:r w:rsidRPr="008717EF">
              <w:t xml:space="preserve">Well-Child Visits in the First </w:t>
            </w:r>
            <w:r w:rsidR="00E60903" w:rsidRPr="008717EF">
              <w:t>15-</w:t>
            </w:r>
            <w:r w:rsidRPr="008717EF">
              <w:t>30 Months of Life</w:t>
            </w:r>
          </w:p>
        </w:tc>
        <w:tc>
          <w:tcPr>
            <w:tcW w:w="0" w:type="auto"/>
            <w:tcBorders>
              <w:top w:val="single" w:sz="4" w:space="0" w:color="auto"/>
              <w:left w:val="single" w:sz="4" w:space="0" w:color="auto"/>
              <w:bottom w:val="single" w:sz="4" w:space="0" w:color="auto"/>
              <w:right w:val="single" w:sz="4" w:space="0" w:color="auto"/>
            </w:tcBorders>
            <w:vAlign w:val="center"/>
          </w:tcPr>
          <w:p w14:paraId="3C9F1158" w14:textId="08C605F9" w:rsidR="009C067B" w:rsidRPr="008717EF" w:rsidDel="00102F8F" w:rsidRDefault="00781A84" w:rsidP="00DB29A6">
            <w:pPr>
              <w:pStyle w:val="TableText"/>
            </w:pPr>
            <w:r w:rsidRPr="008717EF">
              <w:t>Percentage of children who turned 30 months old who had two or more well-child visits during the last 15 months.</w:t>
            </w:r>
          </w:p>
        </w:tc>
      </w:tr>
      <w:tr w:rsidR="00595DAF" w:rsidRPr="008717EF" w:rsidDel="00011593" w14:paraId="2BEAD6E6" w14:textId="77777777" w:rsidTr="00BB1ECF">
        <w:tc>
          <w:tcPr>
            <w:tcW w:w="0" w:type="auto"/>
            <w:tcBorders>
              <w:top w:val="single" w:sz="4" w:space="0" w:color="auto"/>
              <w:left w:val="single" w:sz="4" w:space="0" w:color="auto"/>
              <w:bottom w:val="single" w:sz="4" w:space="0" w:color="auto"/>
              <w:right w:val="single" w:sz="4" w:space="0" w:color="auto"/>
            </w:tcBorders>
            <w:vAlign w:val="center"/>
          </w:tcPr>
          <w:p w14:paraId="5862C944" w14:textId="566F1EAE" w:rsidR="0022389D" w:rsidRPr="008717EF" w:rsidRDefault="00C14E1A" w:rsidP="00DB29A6">
            <w:pPr>
              <w:pStyle w:val="TableText"/>
            </w:pPr>
            <w:r>
              <w:t>Colorectal Cancer Screening</w:t>
            </w:r>
          </w:p>
        </w:tc>
        <w:tc>
          <w:tcPr>
            <w:tcW w:w="0" w:type="auto"/>
            <w:tcBorders>
              <w:top w:val="single" w:sz="4" w:space="0" w:color="auto"/>
              <w:left w:val="single" w:sz="4" w:space="0" w:color="auto"/>
              <w:bottom w:val="single" w:sz="4" w:space="0" w:color="auto"/>
              <w:right w:val="single" w:sz="4" w:space="0" w:color="auto"/>
            </w:tcBorders>
            <w:vAlign w:val="center"/>
          </w:tcPr>
          <w:p w14:paraId="60D02365" w14:textId="278BF5B3" w:rsidR="0022389D" w:rsidRPr="008717EF" w:rsidRDefault="00C14E1A" w:rsidP="00DB29A6">
            <w:pPr>
              <w:pStyle w:val="TableText"/>
            </w:pPr>
            <w:r>
              <w:t>Percentage of beneficiaries 45-75</w:t>
            </w:r>
            <w:r w:rsidR="0054777F">
              <w:t xml:space="preserve"> years of age who had appropriate screening for colorectal cancer.</w:t>
            </w:r>
          </w:p>
        </w:tc>
      </w:tr>
      <w:tr w:rsidR="00595DAF" w:rsidRPr="008717EF" w:rsidDel="00011593" w14:paraId="7DDFE193" w14:textId="77777777" w:rsidTr="00BB1ECF">
        <w:tc>
          <w:tcPr>
            <w:tcW w:w="0" w:type="auto"/>
            <w:tcBorders>
              <w:top w:val="single" w:sz="4" w:space="0" w:color="auto"/>
              <w:left w:val="single" w:sz="4" w:space="0" w:color="auto"/>
              <w:bottom w:val="single" w:sz="4" w:space="0" w:color="auto"/>
              <w:right w:val="single" w:sz="4" w:space="0" w:color="auto"/>
            </w:tcBorders>
            <w:vAlign w:val="center"/>
          </w:tcPr>
          <w:p w14:paraId="55FCFB04" w14:textId="3A029398" w:rsidR="0022389D" w:rsidRPr="008717EF" w:rsidRDefault="00C14E1A" w:rsidP="00DB29A6">
            <w:pPr>
              <w:pStyle w:val="TableText"/>
            </w:pPr>
            <w:r>
              <w:t>Developmental Screening</w:t>
            </w:r>
          </w:p>
        </w:tc>
        <w:tc>
          <w:tcPr>
            <w:tcW w:w="0" w:type="auto"/>
            <w:tcBorders>
              <w:top w:val="single" w:sz="4" w:space="0" w:color="auto"/>
              <w:left w:val="single" w:sz="4" w:space="0" w:color="auto"/>
              <w:bottom w:val="single" w:sz="4" w:space="0" w:color="auto"/>
              <w:right w:val="single" w:sz="4" w:space="0" w:color="auto"/>
            </w:tcBorders>
            <w:vAlign w:val="center"/>
          </w:tcPr>
          <w:p w14:paraId="6536AEE1" w14:textId="67457A05" w:rsidR="0022389D" w:rsidRPr="008717EF" w:rsidRDefault="0054777F" w:rsidP="00DB29A6">
            <w:pPr>
              <w:pStyle w:val="TableText"/>
            </w:pPr>
            <w:r>
              <w:t xml:space="preserve">Percentage of children screened for risk of developmental, behavioral, and social delays using a </w:t>
            </w:r>
            <w:r w:rsidR="00595DAF">
              <w:t>standardized screening tool in the 12 months preceding or on their first, second, or third birthday.</w:t>
            </w:r>
          </w:p>
        </w:tc>
      </w:tr>
    </w:tbl>
    <w:p w14:paraId="3FA59D6B" w14:textId="63F0A065" w:rsidR="00510B82" w:rsidRDefault="00510B82" w:rsidP="004177DA">
      <w:pPr>
        <w:pStyle w:val="Heading3"/>
        <w:numPr>
          <w:ilvl w:val="0"/>
          <w:numId w:val="0"/>
        </w:numPr>
        <w:spacing w:before="120" w:line="360" w:lineRule="auto"/>
      </w:pPr>
    </w:p>
    <w:sectPr w:rsidR="00510B82" w:rsidSect="001072C3">
      <w:headerReference w:type="even" r:id="rId44"/>
      <w:headerReference w:type="default" r:id="rId45"/>
      <w:headerReference w:type="first" r:id="rId4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6BDF" w14:textId="77777777" w:rsidR="00885DBE" w:rsidRDefault="00885DBE" w:rsidP="00A25996">
      <w:pPr>
        <w:spacing w:before="0" w:after="0" w:line="240" w:lineRule="auto"/>
      </w:pPr>
      <w:r>
        <w:separator/>
      </w:r>
    </w:p>
  </w:endnote>
  <w:endnote w:type="continuationSeparator" w:id="0">
    <w:p w14:paraId="52ABDCEC" w14:textId="77777777" w:rsidR="00885DBE" w:rsidRDefault="00885DBE" w:rsidP="00A259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swiss"/>
    <w:pitch w:val="variable"/>
    <w:sig w:usb0="A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HP Simplified">
    <w:charset w:val="00"/>
    <w:family w:val="swiss"/>
    <w:pitch w:val="variable"/>
    <w:sig w:usb0="A00000AF" w:usb1="5000205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0F10" w14:textId="2DA4B7CF" w:rsidR="00654C43" w:rsidRPr="00C440C3" w:rsidRDefault="00654C43" w:rsidP="00BB1ECF">
    <w:pPr>
      <w:pStyle w:val="Footer"/>
      <w:pBdr>
        <w:top w:val="single" w:sz="4" w:space="1" w:color="auto"/>
      </w:pBdr>
      <w:tabs>
        <w:tab w:val="right" w:pos="9360"/>
      </w:tabs>
      <w:rPr>
        <w:noProof/>
        <w:sz w:val="20"/>
        <w:szCs w:val="20"/>
      </w:rPr>
    </w:pPr>
    <w:r>
      <w:rPr>
        <w:sz w:val="20"/>
        <w:szCs w:val="20"/>
      </w:rPr>
      <w:fldChar w:fldCharType="begin"/>
    </w:r>
    <w:r>
      <w:rPr>
        <w:sz w:val="20"/>
        <w:szCs w:val="20"/>
      </w:rPr>
      <w:instrText xml:space="preserve"> STYLEREF  Version  \* MERGEFORMAT </w:instrText>
    </w:r>
    <w:r>
      <w:rPr>
        <w:sz w:val="20"/>
        <w:szCs w:val="20"/>
      </w:rPr>
      <w:fldChar w:fldCharType="end"/>
    </w:r>
    <w:r>
      <w:rPr>
        <w:sz w:val="20"/>
        <w:szCs w:val="20"/>
      </w:rPr>
      <w:tab/>
    </w:r>
    <w:r w:rsidRPr="00C440C3">
      <w:rPr>
        <w:sz w:val="20"/>
        <w:szCs w:val="20"/>
      </w:rPr>
      <w:t xml:space="preserve">Page </w:t>
    </w:r>
    <w:r w:rsidRPr="00C440C3">
      <w:rPr>
        <w:sz w:val="20"/>
        <w:szCs w:val="20"/>
      </w:rPr>
      <w:fldChar w:fldCharType="begin"/>
    </w:r>
    <w:r w:rsidRPr="00C440C3">
      <w:rPr>
        <w:sz w:val="20"/>
        <w:szCs w:val="20"/>
      </w:rPr>
      <w:instrText xml:space="preserve"> PAGE   \* MERGEFORMAT </w:instrText>
    </w:r>
    <w:r w:rsidRPr="00C440C3">
      <w:rPr>
        <w:sz w:val="20"/>
        <w:szCs w:val="20"/>
      </w:rPr>
      <w:fldChar w:fldCharType="separate"/>
    </w:r>
    <w:r>
      <w:rPr>
        <w:noProof/>
        <w:sz w:val="20"/>
        <w:szCs w:val="20"/>
      </w:rPr>
      <w:t>4</w:t>
    </w:r>
    <w:r w:rsidRPr="00C440C3">
      <w:rPr>
        <w:noProof/>
        <w:sz w:val="20"/>
        <w:szCs w:val="20"/>
      </w:rPr>
      <w:fldChar w:fldCharType="end"/>
    </w:r>
  </w:p>
  <w:p w14:paraId="1F8DA192" w14:textId="77777777" w:rsidR="00654C43" w:rsidRPr="002E0127" w:rsidRDefault="00654C43" w:rsidP="00BB1ECF">
    <w:pPr>
      <w:tabs>
        <w:tab w:val="right" w:pos="9180"/>
      </w:tabs>
      <w:spacing w:line="231" w:lineRule="exact"/>
      <w:ind w:left="4"/>
      <w:jc w:val="center"/>
      <w:rPr>
        <w:szCs w:val="20"/>
      </w:rPr>
    </w:pPr>
    <w:r w:rsidRPr="006E054C">
      <w:rPr>
        <w:szCs w:val="20"/>
      </w:rPr>
      <w:t>©</w:t>
    </w:r>
    <w:r w:rsidRPr="006E054C">
      <w:rPr>
        <w:spacing w:val="-10"/>
        <w:szCs w:val="20"/>
      </w:rPr>
      <w:t xml:space="preserve"> </w:t>
    </w:r>
    <w:r>
      <w:rPr>
        <w:szCs w:val="20"/>
      </w:rPr>
      <w:t>2015</w:t>
    </w:r>
    <w:r w:rsidRPr="006E054C">
      <w:rPr>
        <w:spacing w:val="-9"/>
        <w:szCs w:val="20"/>
      </w:rPr>
      <w:t xml:space="preserve"> </w:t>
    </w:r>
    <w:r w:rsidRPr="006E054C">
      <w:rPr>
        <w:szCs w:val="20"/>
      </w:rPr>
      <w:t>Hewlett-Packard</w:t>
    </w:r>
    <w:r w:rsidRPr="006E054C">
      <w:rPr>
        <w:spacing w:val="-9"/>
        <w:szCs w:val="20"/>
      </w:rPr>
      <w:t xml:space="preserve"> </w:t>
    </w:r>
    <w:r w:rsidRPr="006E054C">
      <w:rPr>
        <w:szCs w:val="20"/>
      </w:rPr>
      <w:t>Development</w:t>
    </w:r>
    <w:r w:rsidRPr="006E054C">
      <w:rPr>
        <w:spacing w:val="-9"/>
        <w:szCs w:val="20"/>
      </w:rPr>
      <w:t xml:space="preserve"> </w:t>
    </w:r>
    <w:r w:rsidRPr="006E054C">
      <w:rPr>
        <w:szCs w:val="20"/>
      </w:rPr>
      <w:t>Company,</w:t>
    </w:r>
    <w:r w:rsidRPr="006E054C">
      <w:rPr>
        <w:spacing w:val="-8"/>
        <w:szCs w:val="20"/>
      </w:rPr>
      <w:t xml:space="preserve"> </w:t>
    </w:r>
    <w:r w:rsidRPr="006E054C">
      <w:rPr>
        <w:spacing w:val="-1"/>
        <w:szCs w:val="20"/>
      </w:rPr>
      <w:t>L.P.</w:t>
    </w:r>
  </w:p>
  <w:p w14:paraId="177C1FD4" w14:textId="77777777" w:rsidR="00654C43" w:rsidRDefault="00654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5BB6" w14:textId="02D470A1" w:rsidR="00654C43" w:rsidRPr="00FA1F5B" w:rsidRDefault="00654C43" w:rsidP="00BB1ECF">
    <w:pPr>
      <w:pStyle w:val="Footer"/>
      <w:pBdr>
        <w:top w:val="single" w:sz="4" w:space="1" w:color="auto"/>
      </w:pBdr>
      <w:tabs>
        <w:tab w:val="right" w:pos="9360"/>
      </w:tabs>
      <w:rPr>
        <w:noProof/>
        <w:sz w:val="20"/>
        <w:szCs w:val="20"/>
      </w:rPr>
    </w:pPr>
    <w:r w:rsidRPr="0078445E">
      <w:rPr>
        <w:sz w:val="20"/>
        <w:szCs w:val="20"/>
      </w:rPr>
      <w:fldChar w:fldCharType="begin"/>
    </w:r>
    <w:r w:rsidRPr="0078445E">
      <w:rPr>
        <w:sz w:val="20"/>
        <w:szCs w:val="20"/>
      </w:rPr>
      <w:instrText xml:space="preserve"> STYLEREF  Version  \* MERGEFORMAT </w:instrText>
    </w:r>
    <w:r w:rsidRPr="0078445E">
      <w:rPr>
        <w:sz w:val="20"/>
        <w:szCs w:val="20"/>
      </w:rPr>
      <w:fldChar w:fldCharType="end"/>
    </w:r>
    <w:bookmarkStart w:id="11" w:name="_Toc219182735"/>
    <w:bookmarkStart w:id="12" w:name="_Toc219184987"/>
    <w:bookmarkStart w:id="13" w:name="_Toc223498395"/>
    <w:bookmarkStart w:id="14" w:name="_Toc223860995"/>
    <w:bookmarkStart w:id="15" w:name="_Toc226426314"/>
    <w:bookmarkStart w:id="16" w:name="_Toc230500485"/>
    <w:bookmarkStart w:id="17" w:name="_Toc231202985"/>
    <w:r>
      <w:rPr>
        <w:sz w:val="20"/>
        <w:szCs w:val="20"/>
      </w:rPr>
      <w:tab/>
    </w:r>
    <w:r w:rsidRPr="00C440C3">
      <w:rPr>
        <w:sz w:val="20"/>
        <w:szCs w:val="20"/>
      </w:rPr>
      <w:t xml:space="preserve">Page </w:t>
    </w:r>
    <w:r w:rsidRPr="00C440C3">
      <w:rPr>
        <w:sz w:val="20"/>
        <w:szCs w:val="20"/>
      </w:rPr>
      <w:fldChar w:fldCharType="begin"/>
    </w:r>
    <w:r w:rsidRPr="00C440C3">
      <w:rPr>
        <w:sz w:val="20"/>
        <w:szCs w:val="20"/>
      </w:rPr>
      <w:instrText xml:space="preserve"> PAGE   \* MERGEFORMAT </w:instrText>
    </w:r>
    <w:r w:rsidRPr="00C440C3">
      <w:rPr>
        <w:sz w:val="20"/>
        <w:szCs w:val="20"/>
      </w:rPr>
      <w:fldChar w:fldCharType="separate"/>
    </w:r>
    <w:r>
      <w:rPr>
        <w:noProof/>
        <w:sz w:val="20"/>
        <w:szCs w:val="20"/>
      </w:rPr>
      <w:t>iv</w:t>
    </w:r>
    <w:r w:rsidRPr="00C440C3">
      <w:rPr>
        <w:noProof/>
        <w:sz w:val="20"/>
        <w:szCs w:val="20"/>
      </w:rPr>
      <w:fldChar w:fldCharType="end"/>
    </w:r>
    <w:bookmarkEnd w:id="11"/>
    <w:bookmarkEnd w:id="12"/>
    <w:bookmarkEnd w:id="13"/>
    <w:bookmarkEnd w:id="14"/>
    <w:bookmarkEnd w:id="15"/>
    <w:bookmarkEnd w:id="16"/>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644107"/>
      <w:docPartObj>
        <w:docPartGallery w:val="Page Numbers (Bottom of Page)"/>
        <w:docPartUnique/>
      </w:docPartObj>
    </w:sdtPr>
    <w:sdtEndPr>
      <w:rPr>
        <w:b/>
        <w:bCs/>
        <w:noProof/>
      </w:rPr>
    </w:sdtEndPr>
    <w:sdtContent>
      <w:sdt>
        <w:sdtPr>
          <w:id w:val="403570115"/>
          <w:docPartObj>
            <w:docPartGallery w:val="Page Numbers (Top of Page)"/>
            <w:docPartUnique/>
          </w:docPartObj>
        </w:sdtPr>
        <w:sdtEndPr>
          <w:rPr>
            <w:b/>
            <w:bCs/>
            <w:noProof/>
          </w:rPr>
        </w:sdtEndPr>
        <w:sdtContent>
          <w:p w14:paraId="0E748EFC" w14:textId="7F758F0D" w:rsidR="00654C43" w:rsidRPr="001D4DC0" w:rsidRDefault="00654C43" w:rsidP="00BB1ECF">
            <w:pPr>
              <w:pStyle w:val="Footer"/>
              <w:pBdr>
                <w:top w:val="single" w:sz="4" w:space="1" w:color="auto"/>
              </w:pBdr>
              <w:tabs>
                <w:tab w:val="right" w:pos="9360"/>
              </w:tabs>
              <w:rPr>
                <w:b/>
                <w:bCs/>
                <w:noProof/>
              </w:rPr>
            </w:pPr>
            <w:r w:rsidRPr="0078445E">
              <w:rPr>
                <w:sz w:val="20"/>
                <w:szCs w:val="20"/>
              </w:rPr>
              <w:fldChar w:fldCharType="begin"/>
            </w:r>
            <w:r w:rsidRPr="0078445E">
              <w:rPr>
                <w:sz w:val="20"/>
                <w:szCs w:val="20"/>
              </w:rPr>
              <w:instrText xml:space="preserve"> STYLEREF  Version  \* MERGEFORMAT </w:instrText>
            </w:r>
            <w:r w:rsidRPr="0078445E">
              <w:rPr>
                <w:sz w:val="20"/>
                <w:szCs w:val="20"/>
              </w:rPr>
              <w:fldChar w:fldCharType="end"/>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p>
        </w:sdtContent>
      </w:sdt>
    </w:sdtContent>
  </w:sdt>
  <w:p w14:paraId="36E0C7CD" w14:textId="77777777" w:rsidR="001D61D4" w:rsidRDefault="001D61D4"/>
  <w:p w14:paraId="6E2E4183" w14:textId="77777777" w:rsidR="001D61D4" w:rsidRDefault="001D61D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842486"/>
      <w:docPartObj>
        <w:docPartGallery w:val="Page Numbers (Bottom of Page)"/>
        <w:docPartUnique/>
      </w:docPartObj>
    </w:sdtPr>
    <w:sdtEndPr>
      <w:rPr>
        <w:b/>
        <w:bCs/>
        <w:noProof/>
      </w:rPr>
    </w:sdtEndPr>
    <w:sdtContent>
      <w:sdt>
        <w:sdtPr>
          <w:id w:val="-768622361"/>
          <w:docPartObj>
            <w:docPartGallery w:val="Page Numbers (Top of Page)"/>
            <w:docPartUnique/>
          </w:docPartObj>
        </w:sdtPr>
        <w:sdtEndPr>
          <w:rPr>
            <w:b/>
            <w:bCs/>
            <w:noProof/>
          </w:rPr>
        </w:sdtEndPr>
        <w:sdtContent>
          <w:p w14:paraId="40321615" w14:textId="7848FC53" w:rsidR="00654C43" w:rsidRPr="001D4DC0" w:rsidRDefault="00654C43" w:rsidP="00BB1ECF">
            <w:pPr>
              <w:pStyle w:val="Footer"/>
              <w:pBdr>
                <w:top w:val="single" w:sz="4" w:space="1" w:color="auto"/>
              </w:pBdr>
              <w:tabs>
                <w:tab w:val="right" w:pos="12960"/>
              </w:tabs>
              <w:rPr>
                <w:b/>
                <w:bCs/>
                <w:noProof/>
              </w:rPr>
            </w:pPr>
            <w:r w:rsidRPr="0078445E">
              <w:rPr>
                <w:sz w:val="20"/>
                <w:szCs w:val="20"/>
              </w:rPr>
              <w:fldChar w:fldCharType="begin"/>
            </w:r>
            <w:r w:rsidRPr="0078445E">
              <w:rPr>
                <w:sz w:val="20"/>
                <w:szCs w:val="20"/>
              </w:rPr>
              <w:instrText xml:space="preserve"> STYLEREF  Version  \* MERGEFORMAT </w:instrText>
            </w:r>
            <w:r w:rsidRPr="0078445E">
              <w:rPr>
                <w:sz w:val="20"/>
                <w:szCs w:val="20"/>
              </w:rPr>
              <w:fldChar w:fldCharType="end"/>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530444"/>
      <w:docPartObj>
        <w:docPartGallery w:val="Page Numbers (Bottom of Page)"/>
        <w:docPartUnique/>
      </w:docPartObj>
    </w:sdtPr>
    <w:sdtEndPr/>
    <w:sdtContent>
      <w:sdt>
        <w:sdtPr>
          <w:id w:val="238068587"/>
          <w:docPartObj>
            <w:docPartGallery w:val="Page Numbers (Top of Page)"/>
            <w:docPartUnique/>
          </w:docPartObj>
        </w:sdtPr>
        <w:sdtEndPr/>
        <w:sdtContent>
          <w:p w14:paraId="17EF3198" w14:textId="5C463E2F" w:rsidR="00654C43" w:rsidRPr="0073425C" w:rsidRDefault="00654C43" w:rsidP="00BB1ECF">
            <w:pPr>
              <w:pStyle w:val="Footer"/>
              <w:pBdr>
                <w:top w:val="single" w:sz="4" w:space="1" w:color="auto"/>
              </w:pBdr>
              <w:tabs>
                <w:tab w:val="right" w:pos="12960"/>
              </w:tabs>
            </w:pPr>
            <w:r w:rsidRPr="0078445E">
              <w:rPr>
                <w:sz w:val="20"/>
                <w:szCs w:val="20"/>
              </w:rPr>
              <w:fldChar w:fldCharType="begin"/>
            </w:r>
            <w:r w:rsidRPr="0078445E">
              <w:rPr>
                <w:sz w:val="20"/>
                <w:szCs w:val="20"/>
              </w:rPr>
              <w:instrText xml:space="preserve"> STYLEREF  Version  \* MERGEFORMAT </w:instrText>
            </w:r>
            <w:r w:rsidRPr="0078445E">
              <w:rPr>
                <w:sz w:val="20"/>
                <w:szCs w:val="20"/>
              </w:rPr>
              <w:fldChar w:fldCharType="end"/>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4091" w14:textId="77777777" w:rsidR="00885DBE" w:rsidRDefault="00885DBE" w:rsidP="00A25996">
      <w:pPr>
        <w:spacing w:before="0" w:after="0" w:line="240" w:lineRule="auto"/>
      </w:pPr>
      <w:r>
        <w:separator/>
      </w:r>
    </w:p>
  </w:footnote>
  <w:footnote w:type="continuationSeparator" w:id="0">
    <w:p w14:paraId="3DE97D54" w14:textId="77777777" w:rsidR="00885DBE" w:rsidRDefault="00885DBE" w:rsidP="00A25996">
      <w:pPr>
        <w:spacing w:before="0" w:after="0" w:line="240" w:lineRule="auto"/>
      </w:pPr>
      <w:r>
        <w:continuationSeparator/>
      </w:r>
    </w:p>
  </w:footnote>
  <w:footnote w:id="1">
    <w:p w14:paraId="219AC7C2" w14:textId="5DC95F55" w:rsidR="00654C43" w:rsidRPr="00AE243B" w:rsidRDefault="00654C43" w:rsidP="00A25996">
      <w:pPr>
        <w:pStyle w:val="FootnoteText"/>
      </w:pPr>
      <w:r w:rsidRPr="00AE243B">
        <w:rPr>
          <w:rStyle w:val="FootnoteReference"/>
        </w:rPr>
        <w:footnoteRef/>
      </w:r>
      <w:r w:rsidRPr="00AE243B">
        <w:t xml:space="preserve"> This will be based on the most recent </w:t>
      </w:r>
      <w:r>
        <w:t xml:space="preserve">inpatient, outpatient, and home health medical </w:t>
      </w:r>
      <w:r w:rsidRPr="00AE243B">
        <w:t>claims available.</w:t>
      </w:r>
    </w:p>
  </w:footnote>
  <w:footnote w:id="2">
    <w:p w14:paraId="414E1DE2" w14:textId="75896849" w:rsidR="00654C43" w:rsidRDefault="00654C43">
      <w:pPr>
        <w:pStyle w:val="FootnoteText"/>
      </w:pPr>
      <w:r>
        <w:rPr>
          <w:rStyle w:val="FootnoteReference"/>
        </w:rPr>
        <w:footnoteRef/>
      </w:r>
      <w:r>
        <w:t xml:space="preserve"> </w:t>
      </w:r>
      <w:r w:rsidRPr="00B55506">
        <w:t>The Healthcare Effectiveness Data and Information Set (HEDIS®) is a registered trademark of the National Committee for Quality Assurance (NCQA).</w:t>
      </w:r>
      <w:r>
        <w:t xml:space="preserve"> </w:t>
      </w:r>
      <w:hyperlink r:id="rId1" w:history="1">
        <w:r w:rsidRPr="00B55506">
          <w:rPr>
            <w:rStyle w:val="Hyperlink"/>
            <w:rFonts w:ascii="Arial" w:hAnsi="Arial"/>
            <w:sz w:val="20"/>
          </w:rPr>
          <w:t>https://www.ncqa.org/hedis/measures/</w:t>
        </w:r>
      </w:hyperlink>
    </w:p>
  </w:footnote>
  <w:footnote w:id="3">
    <w:p w14:paraId="49EE2ED9" w14:textId="06BF54A2" w:rsidR="00654C43" w:rsidRDefault="00654C43" w:rsidP="00A25996">
      <w:pPr>
        <w:pStyle w:val="FootnoteText"/>
      </w:pPr>
      <w:r>
        <w:rPr>
          <w:rStyle w:val="FootnoteReference"/>
        </w:rPr>
        <w:footnoteRef/>
      </w:r>
      <w:r>
        <w:t xml:space="preserve"> </w:t>
      </w:r>
      <w:r w:rsidR="003E5CD9" w:rsidRPr="003E5CD9">
        <w:t xml:space="preserve">The Performance Based Incentive Payment </w:t>
      </w:r>
      <w:r w:rsidR="003E5CD9">
        <w:t xml:space="preserve">(PBIP) </w:t>
      </w:r>
      <w:r w:rsidR="003E5CD9" w:rsidRPr="003E5CD9">
        <w:t xml:space="preserve">amounts are based on previous payout amounts and those practices that qualified in each measure. </w:t>
      </w:r>
      <w:r>
        <w:t>The total of PBIP amounts mu</w:t>
      </w:r>
      <w:r w:rsidRPr="00AB359B">
        <w:t xml:space="preserve">st not exceed </w:t>
      </w:r>
      <w:r>
        <w:t>Medicaid’s allotted dollar amount for total payout. If the total of PBIP amounts exceed Medicaid’s allotted dollar amount for total payout, all PBIP amounts will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E483" w14:textId="12F4CBFA" w:rsidR="00654C43" w:rsidRDefault="00654C43" w:rsidP="00BB1ECF">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15CB" w14:textId="739C8985" w:rsidR="00654C43" w:rsidRDefault="00654C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1FC2" w14:textId="513FD501" w:rsidR="00654C43" w:rsidRDefault="00654C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BC7A" w14:textId="6DE2646F" w:rsidR="00654C43" w:rsidRPr="00145898" w:rsidRDefault="00654C43" w:rsidP="00BB1ECF">
    <w:pPr>
      <w:pStyle w:val="Header"/>
      <w:tabs>
        <w:tab w:val="clear" w:pos="9360"/>
        <w:tab w:val="right" w:pos="12960"/>
      </w:tabs>
    </w:pPr>
    <w:r w:rsidRPr="00475980">
      <w:rPr>
        <w:i/>
      </w:rPr>
      <w:t xml:space="preserve">Click </w:t>
    </w:r>
    <w:hyperlink w:anchor="_Table_of_Contents" w:history="1">
      <w:r w:rsidRPr="00475980">
        <w:rPr>
          <w:rStyle w:val="Hyperlink"/>
          <w:rFonts w:ascii="Arial" w:hAnsi="Arial"/>
          <w:i/>
          <w:sz w:val="20"/>
        </w:rPr>
        <w:t>here</w:t>
      </w:r>
    </w:hyperlink>
    <w:r w:rsidRPr="00475980">
      <w:rPr>
        <w:i/>
      </w:rPr>
      <w:t xml:space="preserve"> for Table of Contents</w:t>
    </w:r>
    <w:r>
      <w:tab/>
    </w:r>
    <w:r>
      <w:tab/>
    </w:r>
    <w:r w:rsidRPr="0072075D">
      <w:t>Details on Activities Tracked for Practice Support</w:t>
    </w:r>
    <w:r>
      <w:t xml:space="preserve"> cont.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1947" w14:textId="7C903905" w:rsidR="00654C43" w:rsidRDefault="00654C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6E4" w14:textId="5963168D" w:rsidR="00654C43" w:rsidRDefault="00654C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E536" w14:textId="746DCA20" w:rsidR="00654C43" w:rsidRPr="00145898" w:rsidRDefault="00654C43" w:rsidP="00BB1ECF">
    <w:pPr>
      <w:pStyle w:val="Header"/>
      <w:tabs>
        <w:tab w:val="clear" w:pos="9360"/>
        <w:tab w:val="right" w:pos="12960"/>
      </w:tabs>
    </w:pPr>
    <w:r w:rsidRPr="00475980">
      <w:rPr>
        <w:i/>
      </w:rPr>
      <w:t xml:space="preserve">Click </w:t>
    </w:r>
    <w:hyperlink w:anchor="_Table_of_Contents" w:history="1">
      <w:r w:rsidRPr="00475980">
        <w:rPr>
          <w:rStyle w:val="Hyperlink"/>
          <w:rFonts w:ascii="Arial" w:hAnsi="Arial"/>
          <w:i/>
          <w:sz w:val="20"/>
        </w:rPr>
        <w:t>here</w:t>
      </w:r>
    </w:hyperlink>
    <w:r w:rsidRPr="00475980">
      <w:rPr>
        <w:i/>
      </w:rPr>
      <w:t xml:space="preserve"> for Table of Contents</w:t>
    </w:r>
    <w:r>
      <w:tab/>
    </w:r>
    <w:r>
      <w:tab/>
    </w:r>
    <w:r w:rsidR="00090C8A">
      <w:t xml:space="preserve">2023 </w:t>
    </w:r>
    <w:r>
      <w:t>PCMH Program Policy Addendum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93E" w14:textId="52801E73" w:rsidR="00654C43" w:rsidRDefault="00654C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DD6A" w14:textId="34DD11D5" w:rsidR="00654C43" w:rsidRPr="00145898" w:rsidRDefault="00654C43" w:rsidP="00BB1ECF">
    <w:pPr>
      <w:pStyle w:val="Header"/>
      <w:tabs>
        <w:tab w:val="clear" w:pos="9360"/>
        <w:tab w:val="right" w:pos="12960"/>
      </w:tabs>
    </w:pPr>
    <w:r w:rsidRPr="00475980">
      <w:rPr>
        <w:i/>
      </w:rPr>
      <w:t xml:space="preserve">Click </w:t>
    </w:r>
    <w:hyperlink w:anchor="_Table_of_Contents" w:history="1">
      <w:r w:rsidRPr="00475980">
        <w:rPr>
          <w:rStyle w:val="Hyperlink"/>
          <w:rFonts w:ascii="Arial" w:hAnsi="Arial"/>
          <w:i/>
          <w:sz w:val="20"/>
        </w:rPr>
        <w:t>here</w:t>
      </w:r>
    </w:hyperlink>
    <w:r w:rsidRPr="00475980">
      <w:rPr>
        <w:i/>
      </w:rPr>
      <w:t xml:space="preserve"> for Table of Contents</w:t>
    </w:r>
    <w:r>
      <w:tab/>
    </w:r>
    <w:r>
      <w:tab/>
    </w:r>
    <w:r w:rsidRPr="0073425C">
      <w:t xml:space="preserve">Low Performance Core Metric for the </w:t>
    </w:r>
    <w:r w:rsidR="00090C8A" w:rsidRPr="0073425C">
      <w:t>20</w:t>
    </w:r>
    <w:r w:rsidR="00090C8A">
      <w:t>23</w:t>
    </w:r>
    <w:r w:rsidR="00090C8A" w:rsidRPr="0073425C">
      <w:t xml:space="preserve"> </w:t>
    </w:r>
    <w:r w:rsidRPr="0073425C">
      <w:t>Performance Period</w:t>
    </w:r>
    <w:r>
      <w:t xml:space="preserve"> cont.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586C" w14:textId="6F1584D9" w:rsidR="00654C43" w:rsidRDefault="00654C4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245B" w14:textId="48C9B325" w:rsidR="00654C43" w:rsidRPr="00145898" w:rsidRDefault="00654C43" w:rsidP="00BB1ECF">
    <w:pPr>
      <w:pStyle w:val="Header"/>
      <w:tabs>
        <w:tab w:val="clear" w:pos="9360"/>
        <w:tab w:val="right" w:pos="12960"/>
      </w:tabs>
    </w:pPr>
    <w:r w:rsidRPr="00475980">
      <w:rPr>
        <w:i/>
      </w:rPr>
      <w:t xml:space="preserve">Click </w:t>
    </w:r>
    <w:hyperlink w:anchor="_Table_of_Contents" w:history="1">
      <w:r w:rsidRPr="00475980">
        <w:rPr>
          <w:rStyle w:val="Hyperlink"/>
          <w:rFonts w:ascii="Arial" w:hAnsi="Arial"/>
          <w:i/>
          <w:sz w:val="20"/>
        </w:rPr>
        <w:t>here</w:t>
      </w:r>
    </w:hyperlink>
    <w:r w:rsidRPr="00475980">
      <w:rPr>
        <w:i/>
      </w:rPr>
      <w:t xml:space="preserve"> for Table of Contents</w:t>
    </w:r>
    <w:r>
      <w:tab/>
    </w:r>
    <w:r>
      <w:tab/>
    </w:r>
    <w:r w:rsidRPr="009C7BC1">
      <w:t>Quality Metrics Tracked for Performance Based Incentive Payments</w:t>
    </w:r>
    <w:r>
      <w:t xml:space="preserve"> cont.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C2A1" w14:textId="22653D3E" w:rsidR="00654C43" w:rsidRDefault="00654C4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8F02" w14:textId="0A29353A" w:rsidR="00654C43" w:rsidRDefault="00654C4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C24A" w14:textId="77B02A40" w:rsidR="00654C43" w:rsidRDefault="00654C4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0214" w14:textId="70975711" w:rsidR="00654C43" w:rsidRPr="00145898" w:rsidRDefault="00654C43" w:rsidP="00BB1ECF">
    <w:pPr>
      <w:pStyle w:val="Header"/>
      <w:tabs>
        <w:tab w:val="clear" w:pos="9360"/>
        <w:tab w:val="right" w:pos="12960"/>
      </w:tabs>
    </w:pPr>
    <w:r w:rsidRPr="00475980">
      <w:rPr>
        <w:i/>
      </w:rPr>
      <w:t xml:space="preserve">Click </w:t>
    </w:r>
    <w:hyperlink w:anchor="_Table_of_Contents" w:history="1">
      <w:r w:rsidRPr="00475980">
        <w:rPr>
          <w:rStyle w:val="Hyperlink"/>
          <w:rFonts w:ascii="Arial" w:hAnsi="Arial"/>
          <w:i/>
          <w:sz w:val="20"/>
        </w:rPr>
        <w:t>here</w:t>
      </w:r>
    </w:hyperlink>
    <w:r w:rsidRPr="00475980">
      <w:rPr>
        <w:i/>
      </w:rPr>
      <w:t xml:space="preserve"> for Table of Contents</w:t>
    </w:r>
    <w:r>
      <w:tab/>
    </w:r>
    <w:r>
      <w:tab/>
    </w:r>
    <w:r w:rsidRPr="00DE4DA5">
      <w:t>Technical Specifications for Care Categories as Displayed in the PCMH Report</w:t>
    </w:r>
    <w:r>
      <w:t xml:space="preserve"> cont.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087E" w14:textId="3561DD8A" w:rsidR="00654C43" w:rsidRDefault="00654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66F0" w14:textId="325D023F" w:rsidR="00654C43" w:rsidRPr="00145898" w:rsidRDefault="00654C43" w:rsidP="00BB1ECF">
    <w:pPr>
      <w:pStyle w:val="Header"/>
    </w:pPr>
    <w:r>
      <w:tab/>
    </w:r>
    <w:r>
      <w:tab/>
    </w:r>
    <w:r w:rsidR="00090C8A">
      <w:t xml:space="preserve">2023 </w:t>
    </w:r>
    <w:r>
      <w:t>PCMH Program Policy Addendum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05B8" w14:textId="48D901A5" w:rsidR="00654C43" w:rsidRDefault="00654C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197E" w14:textId="00D322E5" w:rsidR="00654C43" w:rsidRDefault="00654C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4392" w14:textId="352BEC60" w:rsidR="00654C43" w:rsidRPr="00145898" w:rsidRDefault="00654C43" w:rsidP="00BB1ECF">
    <w:pPr>
      <w:pStyle w:val="Header"/>
    </w:pPr>
    <w:r w:rsidRPr="00475980">
      <w:rPr>
        <w:i/>
      </w:rPr>
      <w:t xml:space="preserve">Click </w:t>
    </w:r>
    <w:hyperlink w:anchor="_Table_of_Contents" w:history="1">
      <w:r w:rsidRPr="00475980">
        <w:rPr>
          <w:rStyle w:val="Hyperlink"/>
          <w:rFonts w:ascii="Arial" w:hAnsi="Arial"/>
          <w:i/>
          <w:sz w:val="20"/>
        </w:rPr>
        <w:t>here</w:t>
      </w:r>
    </w:hyperlink>
    <w:r w:rsidRPr="00475980">
      <w:rPr>
        <w:i/>
      </w:rPr>
      <w:t xml:space="preserve"> for Table of Contents</w:t>
    </w:r>
    <w:r>
      <w:tab/>
    </w:r>
    <w:r>
      <w:tab/>
    </w:r>
    <w:r w:rsidR="00090C8A">
      <w:t xml:space="preserve">2023 </w:t>
    </w:r>
    <w:r>
      <w:t>PCMH Program Policy Addendum</w:t>
    </w:r>
  </w:p>
  <w:p w14:paraId="7180EF3A" w14:textId="77777777" w:rsidR="001D61D4" w:rsidRDefault="001D61D4"/>
  <w:p w14:paraId="5D786EB7" w14:textId="77777777" w:rsidR="001D61D4" w:rsidRDefault="001D61D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7B3A" w14:textId="171AA233" w:rsidR="00654C43" w:rsidRDefault="00654C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9EDF" w14:textId="417FAADB" w:rsidR="00654C43" w:rsidRDefault="00654C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D678" w14:textId="712DFC9B" w:rsidR="00654C43" w:rsidRPr="00145898" w:rsidRDefault="00654C43" w:rsidP="00BB1ECF">
    <w:pPr>
      <w:pStyle w:val="Header"/>
      <w:tabs>
        <w:tab w:val="clear" w:pos="9360"/>
        <w:tab w:val="right" w:pos="12960"/>
      </w:tabs>
    </w:pPr>
    <w:r w:rsidRPr="00475980">
      <w:rPr>
        <w:i/>
      </w:rPr>
      <w:t xml:space="preserve">Click </w:t>
    </w:r>
    <w:hyperlink w:anchor="_Table_of_Contents" w:history="1">
      <w:r w:rsidRPr="00475980">
        <w:rPr>
          <w:rStyle w:val="Hyperlink"/>
          <w:rFonts w:ascii="Arial" w:hAnsi="Arial"/>
          <w:i/>
          <w:sz w:val="20"/>
        </w:rPr>
        <w:t>here</w:t>
      </w:r>
    </w:hyperlink>
    <w:r w:rsidRPr="00475980">
      <w:rPr>
        <w:i/>
      </w:rPr>
      <w:t xml:space="preserve"> for Table of Contents</w:t>
    </w:r>
    <w:r>
      <w:tab/>
    </w:r>
    <w:r>
      <w:tab/>
    </w:r>
    <w:r w:rsidR="00090C8A">
      <w:t xml:space="preserve">2023 </w:t>
    </w:r>
    <w:r>
      <w:t>PCMH Program Policy Addendum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E685BB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79F2264"/>
    <w:multiLevelType w:val="hybridMultilevel"/>
    <w:tmpl w:val="1BC60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71ED"/>
    <w:multiLevelType w:val="hybridMultilevel"/>
    <w:tmpl w:val="D2104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F19EC"/>
    <w:multiLevelType w:val="hybridMultilevel"/>
    <w:tmpl w:val="27EA9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DB12F6"/>
    <w:multiLevelType w:val="hybridMultilevel"/>
    <w:tmpl w:val="26E0B9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911579"/>
    <w:multiLevelType w:val="hybridMultilevel"/>
    <w:tmpl w:val="6A502008"/>
    <w:lvl w:ilvl="0" w:tplc="FFFFFFFF">
      <w:start w:val="1"/>
      <w:numFmt w:val="decimal"/>
      <w:lvlText w:val="%1."/>
      <w:lvlJc w:val="left"/>
      <w:pPr>
        <w:ind w:left="720" w:hanging="360"/>
      </w:pPr>
    </w:lvl>
    <w:lvl w:ilvl="1" w:tplc="58BCA1B2">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52062"/>
    <w:multiLevelType w:val="hybridMultilevel"/>
    <w:tmpl w:val="276814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426A2"/>
    <w:multiLevelType w:val="hybridMultilevel"/>
    <w:tmpl w:val="ECE6B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166"/>
    <w:multiLevelType w:val="hybridMultilevel"/>
    <w:tmpl w:val="947E1C46"/>
    <w:lvl w:ilvl="0" w:tplc="0F94DF9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F6DCB"/>
    <w:multiLevelType w:val="hybridMultilevel"/>
    <w:tmpl w:val="498AB09C"/>
    <w:lvl w:ilvl="0" w:tplc="D5A222A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867550"/>
    <w:multiLevelType w:val="hybridMultilevel"/>
    <w:tmpl w:val="C31A4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72605"/>
    <w:multiLevelType w:val="hybridMultilevel"/>
    <w:tmpl w:val="80104630"/>
    <w:lvl w:ilvl="0" w:tplc="F2AA2E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84023"/>
    <w:multiLevelType w:val="hybridMultilevel"/>
    <w:tmpl w:val="CB14506C"/>
    <w:lvl w:ilvl="0" w:tplc="9580F7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32508"/>
    <w:multiLevelType w:val="hybridMultilevel"/>
    <w:tmpl w:val="AA726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D758E"/>
    <w:multiLevelType w:val="hybridMultilevel"/>
    <w:tmpl w:val="42AE7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D1020"/>
    <w:multiLevelType w:val="hybridMultilevel"/>
    <w:tmpl w:val="9AEE1464"/>
    <w:lvl w:ilvl="0" w:tplc="A6C0ACC2">
      <w:start w:val="1"/>
      <w:numFmt w:val="bullet"/>
      <w:lvlText w:val=""/>
      <w:lvlJc w:val="left"/>
      <w:pPr>
        <w:ind w:left="720" w:hanging="360"/>
      </w:pPr>
      <w:rPr>
        <w:rFonts w:ascii="Symbol" w:hAnsi="Symbol" w:hint="default"/>
      </w:rPr>
    </w:lvl>
    <w:lvl w:ilvl="1" w:tplc="A7F61762">
      <w:start w:val="1"/>
      <w:numFmt w:val="bullet"/>
      <w:lvlText w:val="o"/>
      <w:lvlJc w:val="left"/>
      <w:pPr>
        <w:ind w:left="1440" w:hanging="360"/>
      </w:pPr>
      <w:rPr>
        <w:rFonts w:ascii="Courier New" w:hAnsi="Courier New" w:cs="Courier New" w:hint="default"/>
      </w:rPr>
    </w:lvl>
    <w:lvl w:ilvl="2" w:tplc="638EC4C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E2694"/>
    <w:multiLevelType w:val="hybridMultilevel"/>
    <w:tmpl w:val="77B2681A"/>
    <w:lvl w:ilvl="0" w:tplc="F2AA2E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3403F"/>
    <w:multiLevelType w:val="hybridMultilevel"/>
    <w:tmpl w:val="ECE6B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95641"/>
    <w:multiLevelType w:val="hybridMultilevel"/>
    <w:tmpl w:val="D2604850"/>
    <w:lvl w:ilvl="0" w:tplc="ADA07EE8">
      <w:start w:val="1"/>
      <w:numFmt w:val="decimal"/>
      <w:pStyle w:val="FigureCaption"/>
      <w:lvlText w:val="Figure %1:"/>
      <w:lvlJc w:val="left"/>
      <w:pPr>
        <w:ind w:left="720" w:hanging="360"/>
      </w:pPr>
      <w:rPr>
        <w:rFonts w:hint="default"/>
      </w:rPr>
    </w:lvl>
    <w:lvl w:ilvl="1" w:tplc="0BC8540E" w:tentative="1">
      <w:start w:val="1"/>
      <w:numFmt w:val="lowerLetter"/>
      <w:lvlText w:val="%2."/>
      <w:lvlJc w:val="left"/>
      <w:pPr>
        <w:ind w:left="1440" w:hanging="360"/>
      </w:pPr>
    </w:lvl>
    <w:lvl w:ilvl="2" w:tplc="23643494" w:tentative="1">
      <w:start w:val="1"/>
      <w:numFmt w:val="lowerRoman"/>
      <w:lvlText w:val="%3."/>
      <w:lvlJc w:val="right"/>
      <w:pPr>
        <w:ind w:left="2160" w:hanging="180"/>
      </w:pPr>
    </w:lvl>
    <w:lvl w:ilvl="3" w:tplc="6CA460B6" w:tentative="1">
      <w:start w:val="1"/>
      <w:numFmt w:val="decimal"/>
      <w:lvlText w:val="%4."/>
      <w:lvlJc w:val="left"/>
      <w:pPr>
        <w:ind w:left="2880" w:hanging="360"/>
      </w:pPr>
    </w:lvl>
    <w:lvl w:ilvl="4" w:tplc="9064B3A8" w:tentative="1">
      <w:start w:val="1"/>
      <w:numFmt w:val="lowerLetter"/>
      <w:lvlText w:val="%5."/>
      <w:lvlJc w:val="left"/>
      <w:pPr>
        <w:ind w:left="3600" w:hanging="360"/>
      </w:pPr>
    </w:lvl>
    <w:lvl w:ilvl="5" w:tplc="D81E7170" w:tentative="1">
      <w:start w:val="1"/>
      <w:numFmt w:val="lowerRoman"/>
      <w:lvlText w:val="%6."/>
      <w:lvlJc w:val="right"/>
      <w:pPr>
        <w:ind w:left="4320" w:hanging="180"/>
      </w:pPr>
    </w:lvl>
    <w:lvl w:ilvl="6" w:tplc="762252F4" w:tentative="1">
      <w:start w:val="1"/>
      <w:numFmt w:val="decimal"/>
      <w:lvlText w:val="%7."/>
      <w:lvlJc w:val="left"/>
      <w:pPr>
        <w:ind w:left="5040" w:hanging="360"/>
      </w:pPr>
    </w:lvl>
    <w:lvl w:ilvl="7" w:tplc="DD56C6D4" w:tentative="1">
      <w:start w:val="1"/>
      <w:numFmt w:val="lowerLetter"/>
      <w:lvlText w:val="%8."/>
      <w:lvlJc w:val="left"/>
      <w:pPr>
        <w:ind w:left="5760" w:hanging="360"/>
      </w:pPr>
    </w:lvl>
    <w:lvl w:ilvl="8" w:tplc="318E9F92" w:tentative="1">
      <w:start w:val="1"/>
      <w:numFmt w:val="lowerRoman"/>
      <w:lvlText w:val="%9."/>
      <w:lvlJc w:val="right"/>
      <w:pPr>
        <w:ind w:left="6480" w:hanging="180"/>
      </w:pPr>
    </w:lvl>
  </w:abstractNum>
  <w:abstractNum w:abstractNumId="19" w15:restartNumberingAfterBreak="0">
    <w:nsid w:val="504F2FA6"/>
    <w:multiLevelType w:val="hybridMultilevel"/>
    <w:tmpl w:val="B2C4C1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E43F49"/>
    <w:multiLevelType w:val="hybridMultilevel"/>
    <w:tmpl w:val="3A5AF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A757E"/>
    <w:multiLevelType w:val="hybridMultilevel"/>
    <w:tmpl w:val="88127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3339C"/>
    <w:multiLevelType w:val="hybridMultilevel"/>
    <w:tmpl w:val="4078A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22EAF"/>
    <w:multiLevelType w:val="hybridMultilevel"/>
    <w:tmpl w:val="31FE3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91E6B"/>
    <w:multiLevelType w:val="multilevel"/>
    <w:tmpl w:val="09F8B29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rPr>
        <w:rFonts w:cs="Times New Roman"/>
        <w:b w:val="0"/>
        <w:bCs w:val="0"/>
        <w:i w:val="0"/>
        <w:iCs w:val="0"/>
        <w:caps w:val="0"/>
        <w:smallCaps w:val="0"/>
        <w:strike w:val="0"/>
        <w:dstrike w:val="0"/>
        <w:vanish w:val="0"/>
        <w:color w:val="000000"/>
        <w:spacing w:val="0"/>
        <w:kern w:val="0"/>
        <w:position w:val="0"/>
        <w:u w:val="none"/>
        <w:effect w:val="none"/>
        <w:vertAlign w:val="baseline"/>
        <w:specVanish w:val="0"/>
      </w:rPr>
    </w:lvl>
    <w:lvl w:ilvl="7">
      <w:start w:val="1"/>
      <w:numFmt w:val="decimal"/>
      <w:pStyle w:val="Heading8"/>
      <w:lvlText w:val="%1.%2.%3.%4.%5.%6.%7.%8"/>
      <w:lvlJc w:val="left"/>
      <w:pPr>
        <w:ind w:left="1440" w:hanging="1440"/>
      </w:pPr>
      <w:rPr>
        <w:rFonts w:cs="Times New Roman"/>
        <w:b w:val="0"/>
        <w:bCs w:val="0"/>
        <w:i w:val="0"/>
        <w:iCs w:val="0"/>
        <w:caps w:val="0"/>
        <w:smallCaps w:val="0"/>
        <w:strike w:val="0"/>
        <w:dstrike w:val="0"/>
        <w:vanish w:val="0"/>
        <w:color w:val="000000"/>
        <w:spacing w:val="0"/>
        <w:kern w:val="0"/>
        <w:position w:val="0"/>
        <w:u w:val="none"/>
        <w:effect w:val="none"/>
        <w:vertAlign w:val="baseline"/>
        <w:specVanish w:val="0"/>
      </w:rPr>
    </w:lvl>
    <w:lvl w:ilvl="8">
      <w:start w:val="1"/>
      <w:numFmt w:val="decimal"/>
      <w:pStyle w:val="Heading9"/>
      <w:lvlText w:val="%1.%2.%3.%4.%5.%6.%7.%8.%9"/>
      <w:lvlJc w:val="left"/>
      <w:pPr>
        <w:ind w:left="1584" w:hanging="1584"/>
      </w:pPr>
      <w:rPr>
        <w:rFonts w:cs="Times New Roman"/>
        <w:b w:val="0"/>
        <w:bCs w:val="0"/>
        <w:i w:val="0"/>
        <w:iCs w:val="0"/>
        <w:caps w:val="0"/>
        <w:smallCaps w:val="0"/>
        <w:strike w:val="0"/>
        <w:dstrike w:val="0"/>
        <w:vanish w:val="0"/>
        <w:color w:val="000000"/>
        <w:spacing w:val="0"/>
        <w:kern w:val="0"/>
        <w:position w:val="0"/>
        <w:u w:val="none"/>
        <w:effect w:val="none"/>
        <w:vertAlign w:val="baseline"/>
        <w:specVanish w:val="0"/>
      </w:rPr>
    </w:lvl>
  </w:abstractNum>
  <w:abstractNum w:abstractNumId="25" w15:restartNumberingAfterBreak="0">
    <w:nsid w:val="5A2B68F8"/>
    <w:multiLevelType w:val="hybridMultilevel"/>
    <w:tmpl w:val="9D4619AA"/>
    <w:lvl w:ilvl="0" w:tplc="ADD8EB70">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C0331DB"/>
    <w:multiLevelType w:val="hybridMultilevel"/>
    <w:tmpl w:val="1BF4A57A"/>
    <w:lvl w:ilvl="0" w:tplc="BBA434DA">
      <w:start w:val="1"/>
      <w:numFmt w:val="bullet"/>
      <w:lvlText w:val=""/>
      <w:lvlJc w:val="left"/>
      <w:pPr>
        <w:ind w:left="720" w:hanging="360"/>
      </w:pPr>
      <w:rPr>
        <w:rFonts w:ascii="Symbol" w:hAnsi="Symbol" w:hint="default"/>
      </w:rPr>
    </w:lvl>
    <w:lvl w:ilvl="1" w:tplc="F41C5F5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00620"/>
    <w:multiLevelType w:val="hybridMultilevel"/>
    <w:tmpl w:val="322C0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722B0"/>
    <w:multiLevelType w:val="hybridMultilevel"/>
    <w:tmpl w:val="D024A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FC05B0E">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A5BA1"/>
    <w:multiLevelType w:val="hybridMultilevel"/>
    <w:tmpl w:val="069CE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66405"/>
    <w:multiLevelType w:val="hybridMultilevel"/>
    <w:tmpl w:val="CB4254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B2C79C8">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B35565"/>
    <w:multiLevelType w:val="hybridMultilevel"/>
    <w:tmpl w:val="77E62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C2DE2"/>
    <w:multiLevelType w:val="multilevel"/>
    <w:tmpl w:val="50D429A6"/>
    <w:lvl w:ilvl="0">
      <w:start w:val="1"/>
      <w:numFmt w:val="upperLetter"/>
      <w:pStyle w:val="AppdxHdg"/>
      <w:lvlText w:val="Appendix %1:"/>
      <w:lvlJc w:val="left"/>
      <w:pPr>
        <w:ind w:left="1080" w:hanging="1080"/>
      </w:pPr>
      <w:rPr>
        <w:rFonts w:hint="default"/>
      </w:rPr>
    </w:lvl>
    <w:lvl w:ilvl="1">
      <w:start w:val="1"/>
      <w:numFmt w:val="decimal"/>
      <w:pStyle w:val="AppdxHdg2"/>
      <w:lvlText w:val="%1.%2"/>
      <w:lvlJc w:val="left"/>
      <w:pPr>
        <w:ind w:left="1080" w:hanging="1080"/>
      </w:pPr>
      <w:rPr>
        <w:rFonts w:hint="default"/>
      </w:rPr>
    </w:lvl>
    <w:lvl w:ilvl="2">
      <w:start w:val="1"/>
      <w:numFmt w:val="decimal"/>
      <w:pStyle w:val="AppdxHdg3"/>
      <w:lvlText w:val="%1.%2.%3"/>
      <w:lvlJc w:val="left"/>
      <w:pPr>
        <w:ind w:left="1080" w:hanging="108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lowerRoman"/>
      <w:lvlText w:val="%6."/>
      <w:lvlJc w:val="righ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right"/>
      <w:pPr>
        <w:ind w:left="1080" w:hanging="1080"/>
      </w:pPr>
      <w:rPr>
        <w:rFonts w:hint="default"/>
      </w:rPr>
    </w:lvl>
  </w:abstractNum>
  <w:abstractNum w:abstractNumId="33" w15:restartNumberingAfterBreak="0">
    <w:nsid w:val="73CD5371"/>
    <w:multiLevelType w:val="hybridMultilevel"/>
    <w:tmpl w:val="B2C4C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54E92"/>
    <w:multiLevelType w:val="hybridMultilevel"/>
    <w:tmpl w:val="7966DEE2"/>
    <w:lvl w:ilvl="0" w:tplc="311E9E0E">
      <w:start w:val="1"/>
      <w:numFmt w:val="bullet"/>
      <w:pStyle w:val="ListParagraph"/>
      <w:lvlText w:val=""/>
      <w:lvlJc w:val="left"/>
      <w:pPr>
        <w:ind w:left="216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F333A"/>
    <w:multiLevelType w:val="hybridMultilevel"/>
    <w:tmpl w:val="783AAFD6"/>
    <w:lvl w:ilvl="0" w:tplc="28162690">
      <w:start w:val="1"/>
      <w:numFmt w:val="decimal"/>
      <w:pStyle w:val="TableCaption"/>
      <w:lvlText w:val="Table %1:"/>
      <w:lvlJc w:val="left"/>
      <w:pPr>
        <w:ind w:left="720" w:hanging="360"/>
      </w:pPr>
      <w:rPr>
        <w:rFonts w:hint="default"/>
      </w:rPr>
    </w:lvl>
    <w:lvl w:ilvl="1" w:tplc="BFB4FF30" w:tentative="1">
      <w:start w:val="1"/>
      <w:numFmt w:val="lowerLetter"/>
      <w:lvlText w:val="%2."/>
      <w:lvlJc w:val="left"/>
      <w:pPr>
        <w:ind w:left="1440" w:hanging="360"/>
      </w:pPr>
    </w:lvl>
    <w:lvl w:ilvl="2" w:tplc="5830B366" w:tentative="1">
      <w:start w:val="1"/>
      <w:numFmt w:val="lowerRoman"/>
      <w:lvlText w:val="%3."/>
      <w:lvlJc w:val="right"/>
      <w:pPr>
        <w:ind w:left="2160" w:hanging="180"/>
      </w:pPr>
    </w:lvl>
    <w:lvl w:ilvl="3" w:tplc="07628D3E" w:tentative="1">
      <w:start w:val="1"/>
      <w:numFmt w:val="decimal"/>
      <w:lvlText w:val="%4."/>
      <w:lvlJc w:val="left"/>
      <w:pPr>
        <w:ind w:left="2880" w:hanging="360"/>
      </w:pPr>
    </w:lvl>
    <w:lvl w:ilvl="4" w:tplc="25963E3C" w:tentative="1">
      <w:start w:val="1"/>
      <w:numFmt w:val="lowerLetter"/>
      <w:lvlText w:val="%5."/>
      <w:lvlJc w:val="left"/>
      <w:pPr>
        <w:ind w:left="3600" w:hanging="360"/>
      </w:pPr>
    </w:lvl>
    <w:lvl w:ilvl="5" w:tplc="D200F8AC" w:tentative="1">
      <w:start w:val="1"/>
      <w:numFmt w:val="lowerRoman"/>
      <w:lvlText w:val="%6."/>
      <w:lvlJc w:val="right"/>
      <w:pPr>
        <w:ind w:left="4320" w:hanging="180"/>
      </w:pPr>
    </w:lvl>
    <w:lvl w:ilvl="6" w:tplc="A0F8C6B4" w:tentative="1">
      <w:start w:val="1"/>
      <w:numFmt w:val="decimal"/>
      <w:lvlText w:val="%7."/>
      <w:lvlJc w:val="left"/>
      <w:pPr>
        <w:ind w:left="5040" w:hanging="360"/>
      </w:pPr>
    </w:lvl>
    <w:lvl w:ilvl="7" w:tplc="6994EC18" w:tentative="1">
      <w:start w:val="1"/>
      <w:numFmt w:val="lowerLetter"/>
      <w:lvlText w:val="%8."/>
      <w:lvlJc w:val="left"/>
      <w:pPr>
        <w:ind w:left="5760" w:hanging="360"/>
      </w:pPr>
    </w:lvl>
    <w:lvl w:ilvl="8" w:tplc="DA64C0F8" w:tentative="1">
      <w:start w:val="1"/>
      <w:numFmt w:val="lowerRoman"/>
      <w:lvlText w:val="%9."/>
      <w:lvlJc w:val="right"/>
      <w:pPr>
        <w:ind w:left="6480" w:hanging="180"/>
      </w:pPr>
    </w:lvl>
  </w:abstractNum>
  <w:abstractNum w:abstractNumId="36" w15:restartNumberingAfterBreak="0">
    <w:nsid w:val="7E612463"/>
    <w:multiLevelType w:val="hybridMultilevel"/>
    <w:tmpl w:val="5F62B7D2"/>
    <w:lvl w:ilvl="0" w:tplc="98F2179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35"/>
  </w:num>
  <w:num w:numId="4">
    <w:abstractNumId w:val="18"/>
  </w:num>
  <w:num w:numId="5">
    <w:abstractNumId w:val="32"/>
  </w:num>
  <w:num w:numId="6">
    <w:abstractNumId w:val="8"/>
  </w:num>
  <w:num w:numId="7">
    <w:abstractNumId w:val="1"/>
  </w:num>
  <w:num w:numId="8">
    <w:abstractNumId w:val="17"/>
  </w:num>
  <w:num w:numId="9">
    <w:abstractNumId w:val="28"/>
  </w:num>
  <w:num w:numId="10">
    <w:abstractNumId w:val="21"/>
  </w:num>
  <w:num w:numId="11">
    <w:abstractNumId w:val="10"/>
  </w:num>
  <w:num w:numId="12">
    <w:abstractNumId w:val="2"/>
  </w:num>
  <w:num w:numId="13">
    <w:abstractNumId w:val="33"/>
  </w:num>
  <w:num w:numId="14">
    <w:abstractNumId w:val="27"/>
  </w:num>
  <w:num w:numId="15">
    <w:abstractNumId w:val="14"/>
  </w:num>
  <w:num w:numId="16">
    <w:abstractNumId w:val="20"/>
  </w:num>
  <w:num w:numId="17">
    <w:abstractNumId w:val="15"/>
  </w:num>
  <w:num w:numId="18">
    <w:abstractNumId w:val="26"/>
  </w:num>
  <w:num w:numId="19">
    <w:abstractNumId w:val="7"/>
  </w:num>
  <w:num w:numId="20">
    <w:abstractNumId w:val="31"/>
  </w:num>
  <w:num w:numId="21">
    <w:abstractNumId w:val="22"/>
  </w:num>
  <w:num w:numId="22">
    <w:abstractNumId w:val="23"/>
  </w:num>
  <w:num w:numId="23">
    <w:abstractNumId w:val="12"/>
  </w:num>
  <w:num w:numId="24">
    <w:abstractNumId w:val="13"/>
  </w:num>
  <w:num w:numId="25">
    <w:abstractNumId w:val="3"/>
  </w:num>
  <w:num w:numId="26">
    <w:abstractNumId w:val="25"/>
  </w:num>
  <w:num w:numId="27">
    <w:abstractNumId w:val="19"/>
  </w:num>
  <w:num w:numId="28">
    <w:abstractNumId w:val="29"/>
  </w:num>
  <w:num w:numId="29">
    <w:abstractNumId w:val="6"/>
  </w:num>
  <w:num w:numId="30">
    <w:abstractNumId w:val="36"/>
  </w:num>
  <w:num w:numId="31">
    <w:abstractNumId w:val="11"/>
  </w:num>
  <w:num w:numId="32">
    <w:abstractNumId w:val="16"/>
  </w:num>
  <w:num w:numId="33">
    <w:abstractNumId w:val="9"/>
  </w:num>
  <w:num w:numId="34">
    <w:abstractNumId w:val="4"/>
  </w:num>
  <w:num w:numId="35">
    <w:abstractNumId w:val="5"/>
  </w:num>
  <w:num w:numId="36">
    <w:abstractNumId w:val="30"/>
  </w:num>
  <w:num w:numId="37">
    <w:abstractNumId w:val="34"/>
  </w:num>
  <w:num w:numId="38">
    <w:abstractNumId w:val="34"/>
  </w:num>
  <w:num w:numId="39">
    <w:abstractNumId w:val="34"/>
  </w:num>
  <w:num w:numId="40">
    <w:abstractNumId w:val="34"/>
  </w:num>
  <w:num w:numId="41">
    <w:abstractNumId w:val="34"/>
  </w:num>
  <w:num w:numId="42">
    <w:abstractNumId w:val="34"/>
  </w:num>
  <w:num w:numId="43">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96"/>
    <w:rsid w:val="00001E41"/>
    <w:rsid w:val="00003797"/>
    <w:rsid w:val="00003E1C"/>
    <w:rsid w:val="00004C9C"/>
    <w:rsid w:val="0000660A"/>
    <w:rsid w:val="000068A6"/>
    <w:rsid w:val="00010852"/>
    <w:rsid w:val="00011593"/>
    <w:rsid w:val="00011E3C"/>
    <w:rsid w:val="00011EA1"/>
    <w:rsid w:val="000169E5"/>
    <w:rsid w:val="0001747D"/>
    <w:rsid w:val="000239D5"/>
    <w:rsid w:val="0002405F"/>
    <w:rsid w:val="000249D0"/>
    <w:rsid w:val="000274BD"/>
    <w:rsid w:val="00030B01"/>
    <w:rsid w:val="00032664"/>
    <w:rsid w:val="00033470"/>
    <w:rsid w:val="00035148"/>
    <w:rsid w:val="00035E55"/>
    <w:rsid w:val="00036CAB"/>
    <w:rsid w:val="00036DD5"/>
    <w:rsid w:val="00036F7F"/>
    <w:rsid w:val="000378DF"/>
    <w:rsid w:val="00041CC2"/>
    <w:rsid w:val="00042D7A"/>
    <w:rsid w:val="00043091"/>
    <w:rsid w:val="00045A3E"/>
    <w:rsid w:val="00047B26"/>
    <w:rsid w:val="000509A2"/>
    <w:rsid w:val="0005108C"/>
    <w:rsid w:val="00052219"/>
    <w:rsid w:val="00052EED"/>
    <w:rsid w:val="00053912"/>
    <w:rsid w:val="000552C8"/>
    <w:rsid w:val="00056B7F"/>
    <w:rsid w:val="0005754A"/>
    <w:rsid w:val="00060C67"/>
    <w:rsid w:val="0006123A"/>
    <w:rsid w:val="00061964"/>
    <w:rsid w:val="00062B27"/>
    <w:rsid w:val="00063F07"/>
    <w:rsid w:val="00064801"/>
    <w:rsid w:val="000651BD"/>
    <w:rsid w:val="0006654A"/>
    <w:rsid w:val="0007548C"/>
    <w:rsid w:val="00076B9D"/>
    <w:rsid w:val="00080D3E"/>
    <w:rsid w:val="00083D23"/>
    <w:rsid w:val="00084737"/>
    <w:rsid w:val="00087156"/>
    <w:rsid w:val="000900A2"/>
    <w:rsid w:val="00090C8A"/>
    <w:rsid w:val="00091674"/>
    <w:rsid w:val="00093B71"/>
    <w:rsid w:val="00093E46"/>
    <w:rsid w:val="000958E1"/>
    <w:rsid w:val="000A0D1D"/>
    <w:rsid w:val="000A1B47"/>
    <w:rsid w:val="000A39FF"/>
    <w:rsid w:val="000A6FAF"/>
    <w:rsid w:val="000B01B7"/>
    <w:rsid w:val="000B10C3"/>
    <w:rsid w:val="000B20C0"/>
    <w:rsid w:val="000B4161"/>
    <w:rsid w:val="000B76A3"/>
    <w:rsid w:val="000B7978"/>
    <w:rsid w:val="000C0B9F"/>
    <w:rsid w:val="000C0BEA"/>
    <w:rsid w:val="000C1FA6"/>
    <w:rsid w:val="000C3FE6"/>
    <w:rsid w:val="000C662E"/>
    <w:rsid w:val="000C7457"/>
    <w:rsid w:val="000D2B34"/>
    <w:rsid w:val="000D400B"/>
    <w:rsid w:val="000D55EF"/>
    <w:rsid w:val="000D7983"/>
    <w:rsid w:val="000D7EE6"/>
    <w:rsid w:val="000E225E"/>
    <w:rsid w:val="000E2B13"/>
    <w:rsid w:val="000E7118"/>
    <w:rsid w:val="000F1624"/>
    <w:rsid w:val="000F192B"/>
    <w:rsid w:val="000F2583"/>
    <w:rsid w:val="000F431B"/>
    <w:rsid w:val="000F5B0A"/>
    <w:rsid w:val="000F6AFB"/>
    <w:rsid w:val="000F6CDD"/>
    <w:rsid w:val="000F6F1E"/>
    <w:rsid w:val="00100DFA"/>
    <w:rsid w:val="00101B50"/>
    <w:rsid w:val="00102F8F"/>
    <w:rsid w:val="001072C3"/>
    <w:rsid w:val="00110C01"/>
    <w:rsid w:val="0011645F"/>
    <w:rsid w:val="001201BF"/>
    <w:rsid w:val="001209B2"/>
    <w:rsid w:val="00121D9D"/>
    <w:rsid w:val="0012200B"/>
    <w:rsid w:val="0012269B"/>
    <w:rsid w:val="00123D4D"/>
    <w:rsid w:val="00124110"/>
    <w:rsid w:val="001241D9"/>
    <w:rsid w:val="0012434A"/>
    <w:rsid w:val="00124858"/>
    <w:rsid w:val="001250FC"/>
    <w:rsid w:val="0012587F"/>
    <w:rsid w:val="001270C9"/>
    <w:rsid w:val="00131862"/>
    <w:rsid w:val="00131915"/>
    <w:rsid w:val="00131FB4"/>
    <w:rsid w:val="00132F3B"/>
    <w:rsid w:val="00133B8D"/>
    <w:rsid w:val="00136B54"/>
    <w:rsid w:val="00137209"/>
    <w:rsid w:val="00142940"/>
    <w:rsid w:val="00143A30"/>
    <w:rsid w:val="001444F6"/>
    <w:rsid w:val="0014604E"/>
    <w:rsid w:val="00146D29"/>
    <w:rsid w:val="00163575"/>
    <w:rsid w:val="001647BE"/>
    <w:rsid w:val="00165113"/>
    <w:rsid w:val="0016610A"/>
    <w:rsid w:val="00170B90"/>
    <w:rsid w:val="001716CF"/>
    <w:rsid w:val="00171D3D"/>
    <w:rsid w:val="0017311B"/>
    <w:rsid w:val="001731F3"/>
    <w:rsid w:val="001744EA"/>
    <w:rsid w:val="00177957"/>
    <w:rsid w:val="00177F84"/>
    <w:rsid w:val="0018191D"/>
    <w:rsid w:val="00181F49"/>
    <w:rsid w:val="001821D5"/>
    <w:rsid w:val="00182A0D"/>
    <w:rsid w:val="00182F77"/>
    <w:rsid w:val="00183182"/>
    <w:rsid w:val="00183677"/>
    <w:rsid w:val="001847ED"/>
    <w:rsid w:val="0018609F"/>
    <w:rsid w:val="001860E1"/>
    <w:rsid w:val="0018729F"/>
    <w:rsid w:val="0019200F"/>
    <w:rsid w:val="001920CF"/>
    <w:rsid w:val="0019371B"/>
    <w:rsid w:val="00194368"/>
    <w:rsid w:val="001948C7"/>
    <w:rsid w:val="00194ABE"/>
    <w:rsid w:val="0019599F"/>
    <w:rsid w:val="00196659"/>
    <w:rsid w:val="001A09AF"/>
    <w:rsid w:val="001A0F53"/>
    <w:rsid w:val="001A13B9"/>
    <w:rsid w:val="001A14EB"/>
    <w:rsid w:val="001A1D5C"/>
    <w:rsid w:val="001A21D5"/>
    <w:rsid w:val="001A30FE"/>
    <w:rsid w:val="001A455D"/>
    <w:rsid w:val="001A4CCF"/>
    <w:rsid w:val="001A4E18"/>
    <w:rsid w:val="001A74BC"/>
    <w:rsid w:val="001B0836"/>
    <w:rsid w:val="001B086C"/>
    <w:rsid w:val="001B27B6"/>
    <w:rsid w:val="001B40C5"/>
    <w:rsid w:val="001B4453"/>
    <w:rsid w:val="001B4B93"/>
    <w:rsid w:val="001B4BDE"/>
    <w:rsid w:val="001C2F39"/>
    <w:rsid w:val="001C4B47"/>
    <w:rsid w:val="001C7DA8"/>
    <w:rsid w:val="001D054E"/>
    <w:rsid w:val="001D15AB"/>
    <w:rsid w:val="001D17F1"/>
    <w:rsid w:val="001D2D16"/>
    <w:rsid w:val="001D61D4"/>
    <w:rsid w:val="001D6E58"/>
    <w:rsid w:val="001D706A"/>
    <w:rsid w:val="001E1C6C"/>
    <w:rsid w:val="001E2C6F"/>
    <w:rsid w:val="001F0B79"/>
    <w:rsid w:val="001F2599"/>
    <w:rsid w:val="001F2B4B"/>
    <w:rsid w:val="001F2CB5"/>
    <w:rsid w:val="001F44A0"/>
    <w:rsid w:val="001F4C4D"/>
    <w:rsid w:val="001F56E0"/>
    <w:rsid w:val="001F5FBD"/>
    <w:rsid w:val="001F7020"/>
    <w:rsid w:val="001F71F0"/>
    <w:rsid w:val="0020303F"/>
    <w:rsid w:val="00203326"/>
    <w:rsid w:val="002042E0"/>
    <w:rsid w:val="002048AA"/>
    <w:rsid w:val="00204A14"/>
    <w:rsid w:val="0020562D"/>
    <w:rsid w:val="00205D08"/>
    <w:rsid w:val="00206FC3"/>
    <w:rsid w:val="00211D06"/>
    <w:rsid w:val="00215DB9"/>
    <w:rsid w:val="00216624"/>
    <w:rsid w:val="00217FD0"/>
    <w:rsid w:val="002209FB"/>
    <w:rsid w:val="00221281"/>
    <w:rsid w:val="00222CD8"/>
    <w:rsid w:val="00222DA0"/>
    <w:rsid w:val="002236C4"/>
    <w:rsid w:val="0022389D"/>
    <w:rsid w:val="0022517F"/>
    <w:rsid w:val="002264AC"/>
    <w:rsid w:val="00230287"/>
    <w:rsid w:val="00231B1A"/>
    <w:rsid w:val="0023308F"/>
    <w:rsid w:val="00233FBD"/>
    <w:rsid w:val="00234FEF"/>
    <w:rsid w:val="00235CF4"/>
    <w:rsid w:val="002366EF"/>
    <w:rsid w:val="002420D7"/>
    <w:rsid w:val="0025046D"/>
    <w:rsid w:val="00252712"/>
    <w:rsid w:val="00253635"/>
    <w:rsid w:val="00255563"/>
    <w:rsid w:val="00255898"/>
    <w:rsid w:val="00256FA5"/>
    <w:rsid w:val="00257625"/>
    <w:rsid w:val="00257978"/>
    <w:rsid w:val="00260B92"/>
    <w:rsid w:val="00260E16"/>
    <w:rsid w:val="00260F3C"/>
    <w:rsid w:val="0026352F"/>
    <w:rsid w:val="00264338"/>
    <w:rsid w:val="002671E0"/>
    <w:rsid w:val="002733BD"/>
    <w:rsid w:val="002740D2"/>
    <w:rsid w:val="00274CD6"/>
    <w:rsid w:val="00277713"/>
    <w:rsid w:val="00283272"/>
    <w:rsid w:val="00283C5D"/>
    <w:rsid w:val="00290301"/>
    <w:rsid w:val="002925B1"/>
    <w:rsid w:val="00293FA7"/>
    <w:rsid w:val="00296F01"/>
    <w:rsid w:val="00297DE4"/>
    <w:rsid w:val="002A253B"/>
    <w:rsid w:val="002A6CDC"/>
    <w:rsid w:val="002A6F78"/>
    <w:rsid w:val="002A799E"/>
    <w:rsid w:val="002B0871"/>
    <w:rsid w:val="002B1387"/>
    <w:rsid w:val="002B1616"/>
    <w:rsid w:val="002B1D5C"/>
    <w:rsid w:val="002B21AC"/>
    <w:rsid w:val="002B4658"/>
    <w:rsid w:val="002B7531"/>
    <w:rsid w:val="002C1481"/>
    <w:rsid w:val="002C20F1"/>
    <w:rsid w:val="002C3A6B"/>
    <w:rsid w:val="002C499B"/>
    <w:rsid w:val="002C4CFB"/>
    <w:rsid w:val="002C5B5D"/>
    <w:rsid w:val="002C6EA6"/>
    <w:rsid w:val="002D0493"/>
    <w:rsid w:val="002D207A"/>
    <w:rsid w:val="002D2EA1"/>
    <w:rsid w:val="002D4740"/>
    <w:rsid w:val="002E04C4"/>
    <w:rsid w:val="002E1D47"/>
    <w:rsid w:val="002E2A0D"/>
    <w:rsid w:val="002E2A6E"/>
    <w:rsid w:val="002E3AD4"/>
    <w:rsid w:val="002E636E"/>
    <w:rsid w:val="002F2714"/>
    <w:rsid w:val="002F4649"/>
    <w:rsid w:val="002F48A8"/>
    <w:rsid w:val="002F6AA4"/>
    <w:rsid w:val="00300193"/>
    <w:rsid w:val="00302659"/>
    <w:rsid w:val="003028B6"/>
    <w:rsid w:val="00302B81"/>
    <w:rsid w:val="00302BDA"/>
    <w:rsid w:val="00303563"/>
    <w:rsid w:val="0030652B"/>
    <w:rsid w:val="00306B89"/>
    <w:rsid w:val="00307051"/>
    <w:rsid w:val="003123C0"/>
    <w:rsid w:val="0031564B"/>
    <w:rsid w:val="00315F2F"/>
    <w:rsid w:val="003225AE"/>
    <w:rsid w:val="00326A11"/>
    <w:rsid w:val="0032763D"/>
    <w:rsid w:val="0032776F"/>
    <w:rsid w:val="00330817"/>
    <w:rsid w:val="00331FAE"/>
    <w:rsid w:val="00332B87"/>
    <w:rsid w:val="00334AC1"/>
    <w:rsid w:val="003426FD"/>
    <w:rsid w:val="00345544"/>
    <w:rsid w:val="0034563C"/>
    <w:rsid w:val="00346532"/>
    <w:rsid w:val="00354019"/>
    <w:rsid w:val="00354E96"/>
    <w:rsid w:val="003551A9"/>
    <w:rsid w:val="003553DE"/>
    <w:rsid w:val="00355D5D"/>
    <w:rsid w:val="00357628"/>
    <w:rsid w:val="0036032B"/>
    <w:rsid w:val="0036594D"/>
    <w:rsid w:val="0036671F"/>
    <w:rsid w:val="00367E6A"/>
    <w:rsid w:val="003711A5"/>
    <w:rsid w:val="00372E72"/>
    <w:rsid w:val="0037546B"/>
    <w:rsid w:val="00375949"/>
    <w:rsid w:val="0037632F"/>
    <w:rsid w:val="00376C45"/>
    <w:rsid w:val="00381521"/>
    <w:rsid w:val="0038298F"/>
    <w:rsid w:val="00382B54"/>
    <w:rsid w:val="0038333F"/>
    <w:rsid w:val="00386C5F"/>
    <w:rsid w:val="00390283"/>
    <w:rsid w:val="00391C8D"/>
    <w:rsid w:val="0039301B"/>
    <w:rsid w:val="00395606"/>
    <w:rsid w:val="0039593D"/>
    <w:rsid w:val="0039692C"/>
    <w:rsid w:val="00397564"/>
    <w:rsid w:val="00397693"/>
    <w:rsid w:val="00397ACA"/>
    <w:rsid w:val="00397D5B"/>
    <w:rsid w:val="003A253B"/>
    <w:rsid w:val="003A2556"/>
    <w:rsid w:val="003A31F2"/>
    <w:rsid w:val="003A57E3"/>
    <w:rsid w:val="003A665A"/>
    <w:rsid w:val="003A6A81"/>
    <w:rsid w:val="003B0431"/>
    <w:rsid w:val="003B28CB"/>
    <w:rsid w:val="003B4BE7"/>
    <w:rsid w:val="003B73CC"/>
    <w:rsid w:val="003C01A0"/>
    <w:rsid w:val="003C0EA4"/>
    <w:rsid w:val="003C1E99"/>
    <w:rsid w:val="003C1EB9"/>
    <w:rsid w:val="003C2C95"/>
    <w:rsid w:val="003C4D06"/>
    <w:rsid w:val="003C5C22"/>
    <w:rsid w:val="003C6632"/>
    <w:rsid w:val="003C7082"/>
    <w:rsid w:val="003C78DF"/>
    <w:rsid w:val="003D29D6"/>
    <w:rsid w:val="003D3BEC"/>
    <w:rsid w:val="003D57F7"/>
    <w:rsid w:val="003E1611"/>
    <w:rsid w:val="003E31B8"/>
    <w:rsid w:val="003E3705"/>
    <w:rsid w:val="003E5CD9"/>
    <w:rsid w:val="003E5E6C"/>
    <w:rsid w:val="003F0121"/>
    <w:rsid w:val="003F2250"/>
    <w:rsid w:val="003F23B7"/>
    <w:rsid w:val="003F36F9"/>
    <w:rsid w:val="003F5B72"/>
    <w:rsid w:val="003F67F4"/>
    <w:rsid w:val="0040143A"/>
    <w:rsid w:val="004023C7"/>
    <w:rsid w:val="004048A8"/>
    <w:rsid w:val="00404B37"/>
    <w:rsid w:val="00405DFB"/>
    <w:rsid w:val="004136E3"/>
    <w:rsid w:val="00415B59"/>
    <w:rsid w:val="00415E20"/>
    <w:rsid w:val="0041601A"/>
    <w:rsid w:val="004168C9"/>
    <w:rsid w:val="00416DDC"/>
    <w:rsid w:val="004177DA"/>
    <w:rsid w:val="0042099A"/>
    <w:rsid w:val="00423B3B"/>
    <w:rsid w:val="00423C3B"/>
    <w:rsid w:val="00424CBC"/>
    <w:rsid w:val="00424D79"/>
    <w:rsid w:val="0042503F"/>
    <w:rsid w:val="00425466"/>
    <w:rsid w:val="0042548D"/>
    <w:rsid w:val="00426BCD"/>
    <w:rsid w:val="004276C3"/>
    <w:rsid w:val="00442319"/>
    <w:rsid w:val="00442557"/>
    <w:rsid w:val="00443A53"/>
    <w:rsid w:val="0044493B"/>
    <w:rsid w:val="0044659A"/>
    <w:rsid w:val="00446992"/>
    <w:rsid w:val="00447806"/>
    <w:rsid w:val="00450A43"/>
    <w:rsid w:val="00450E42"/>
    <w:rsid w:val="00451F40"/>
    <w:rsid w:val="004526D6"/>
    <w:rsid w:val="00452BB1"/>
    <w:rsid w:val="00454A07"/>
    <w:rsid w:val="00455788"/>
    <w:rsid w:val="004577FA"/>
    <w:rsid w:val="00457CD5"/>
    <w:rsid w:val="004602F3"/>
    <w:rsid w:val="0046049B"/>
    <w:rsid w:val="00463E52"/>
    <w:rsid w:val="00465B39"/>
    <w:rsid w:val="00465CD7"/>
    <w:rsid w:val="0046669A"/>
    <w:rsid w:val="00466EF1"/>
    <w:rsid w:val="004714F6"/>
    <w:rsid w:val="00471709"/>
    <w:rsid w:val="004752B0"/>
    <w:rsid w:val="0047691B"/>
    <w:rsid w:val="00476E97"/>
    <w:rsid w:val="0047702D"/>
    <w:rsid w:val="004773D6"/>
    <w:rsid w:val="00481180"/>
    <w:rsid w:val="0048315E"/>
    <w:rsid w:val="00483775"/>
    <w:rsid w:val="00485C4F"/>
    <w:rsid w:val="00487376"/>
    <w:rsid w:val="00490F37"/>
    <w:rsid w:val="00491C9C"/>
    <w:rsid w:val="00491CC2"/>
    <w:rsid w:val="00491EBE"/>
    <w:rsid w:val="00495825"/>
    <w:rsid w:val="004974AB"/>
    <w:rsid w:val="004A01F2"/>
    <w:rsid w:val="004A1423"/>
    <w:rsid w:val="004A2FCC"/>
    <w:rsid w:val="004A7AC8"/>
    <w:rsid w:val="004B27CD"/>
    <w:rsid w:val="004B3490"/>
    <w:rsid w:val="004B38A2"/>
    <w:rsid w:val="004B4938"/>
    <w:rsid w:val="004B4DE9"/>
    <w:rsid w:val="004B4F3F"/>
    <w:rsid w:val="004B6968"/>
    <w:rsid w:val="004B76B9"/>
    <w:rsid w:val="004C52AA"/>
    <w:rsid w:val="004C5FF0"/>
    <w:rsid w:val="004C6D0B"/>
    <w:rsid w:val="004C7F3B"/>
    <w:rsid w:val="004D0481"/>
    <w:rsid w:val="004D1B50"/>
    <w:rsid w:val="004D313B"/>
    <w:rsid w:val="004D45F2"/>
    <w:rsid w:val="004D620E"/>
    <w:rsid w:val="004D6665"/>
    <w:rsid w:val="004D7F84"/>
    <w:rsid w:val="004E16FC"/>
    <w:rsid w:val="004E1F19"/>
    <w:rsid w:val="004E38B0"/>
    <w:rsid w:val="004E6D8F"/>
    <w:rsid w:val="004F1343"/>
    <w:rsid w:val="004F2F5E"/>
    <w:rsid w:val="004F39AC"/>
    <w:rsid w:val="004F680E"/>
    <w:rsid w:val="0050435E"/>
    <w:rsid w:val="005043C6"/>
    <w:rsid w:val="00504EA2"/>
    <w:rsid w:val="005057AE"/>
    <w:rsid w:val="00505D08"/>
    <w:rsid w:val="00506502"/>
    <w:rsid w:val="00506F8C"/>
    <w:rsid w:val="00507E77"/>
    <w:rsid w:val="00510B82"/>
    <w:rsid w:val="0051667A"/>
    <w:rsid w:val="0052010E"/>
    <w:rsid w:val="0052054E"/>
    <w:rsid w:val="00524156"/>
    <w:rsid w:val="00524B5C"/>
    <w:rsid w:val="00524F29"/>
    <w:rsid w:val="00525E14"/>
    <w:rsid w:val="005269CB"/>
    <w:rsid w:val="00540972"/>
    <w:rsid w:val="00540BF4"/>
    <w:rsid w:val="0054490E"/>
    <w:rsid w:val="00544916"/>
    <w:rsid w:val="00544BAB"/>
    <w:rsid w:val="0054777F"/>
    <w:rsid w:val="00550D85"/>
    <w:rsid w:val="00552653"/>
    <w:rsid w:val="00552CF8"/>
    <w:rsid w:val="00553291"/>
    <w:rsid w:val="0055557E"/>
    <w:rsid w:val="00556844"/>
    <w:rsid w:val="005612CB"/>
    <w:rsid w:val="005614DD"/>
    <w:rsid w:val="00561663"/>
    <w:rsid w:val="005639BA"/>
    <w:rsid w:val="00563AAC"/>
    <w:rsid w:val="00564697"/>
    <w:rsid w:val="005653A3"/>
    <w:rsid w:val="00571165"/>
    <w:rsid w:val="00571F59"/>
    <w:rsid w:val="00572134"/>
    <w:rsid w:val="00573193"/>
    <w:rsid w:val="00576ABD"/>
    <w:rsid w:val="00580B49"/>
    <w:rsid w:val="00582DFF"/>
    <w:rsid w:val="005834FC"/>
    <w:rsid w:val="0058498D"/>
    <w:rsid w:val="0058526E"/>
    <w:rsid w:val="00585A55"/>
    <w:rsid w:val="00585D3B"/>
    <w:rsid w:val="0058707A"/>
    <w:rsid w:val="00587EA4"/>
    <w:rsid w:val="00590101"/>
    <w:rsid w:val="00593366"/>
    <w:rsid w:val="00595798"/>
    <w:rsid w:val="00595DAF"/>
    <w:rsid w:val="005A0A56"/>
    <w:rsid w:val="005A1BB8"/>
    <w:rsid w:val="005A1D73"/>
    <w:rsid w:val="005A2C49"/>
    <w:rsid w:val="005A4783"/>
    <w:rsid w:val="005A513D"/>
    <w:rsid w:val="005B0E60"/>
    <w:rsid w:val="005B11A3"/>
    <w:rsid w:val="005B2C3B"/>
    <w:rsid w:val="005B45F9"/>
    <w:rsid w:val="005B5558"/>
    <w:rsid w:val="005B5BD4"/>
    <w:rsid w:val="005C257E"/>
    <w:rsid w:val="005C3554"/>
    <w:rsid w:val="005C35D5"/>
    <w:rsid w:val="005C4880"/>
    <w:rsid w:val="005C6D00"/>
    <w:rsid w:val="005C78C5"/>
    <w:rsid w:val="005D1139"/>
    <w:rsid w:val="005D42ED"/>
    <w:rsid w:val="005D4BBE"/>
    <w:rsid w:val="005E0639"/>
    <w:rsid w:val="005E0E37"/>
    <w:rsid w:val="005E137C"/>
    <w:rsid w:val="005E2B91"/>
    <w:rsid w:val="005E50C1"/>
    <w:rsid w:val="005E5FBF"/>
    <w:rsid w:val="005E68A3"/>
    <w:rsid w:val="005F016E"/>
    <w:rsid w:val="005F0326"/>
    <w:rsid w:val="005F2A85"/>
    <w:rsid w:val="005F39A8"/>
    <w:rsid w:val="005F4331"/>
    <w:rsid w:val="005F5B27"/>
    <w:rsid w:val="005F647F"/>
    <w:rsid w:val="005F7223"/>
    <w:rsid w:val="00600B82"/>
    <w:rsid w:val="00603B0A"/>
    <w:rsid w:val="00603D7E"/>
    <w:rsid w:val="006055E9"/>
    <w:rsid w:val="00606817"/>
    <w:rsid w:val="006072EC"/>
    <w:rsid w:val="00607C66"/>
    <w:rsid w:val="00612DF7"/>
    <w:rsid w:val="0061754E"/>
    <w:rsid w:val="006176B2"/>
    <w:rsid w:val="00617E1D"/>
    <w:rsid w:val="00620A4F"/>
    <w:rsid w:val="006211FB"/>
    <w:rsid w:val="006217AB"/>
    <w:rsid w:val="00623389"/>
    <w:rsid w:val="006233E0"/>
    <w:rsid w:val="00630506"/>
    <w:rsid w:val="00630EAF"/>
    <w:rsid w:val="006328CC"/>
    <w:rsid w:val="00632BB2"/>
    <w:rsid w:val="00632D97"/>
    <w:rsid w:val="0063341F"/>
    <w:rsid w:val="00637897"/>
    <w:rsid w:val="00641067"/>
    <w:rsid w:val="006420BC"/>
    <w:rsid w:val="006426A2"/>
    <w:rsid w:val="006461B0"/>
    <w:rsid w:val="00650F9F"/>
    <w:rsid w:val="00652E1B"/>
    <w:rsid w:val="00654C43"/>
    <w:rsid w:val="006554EA"/>
    <w:rsid w:val="0065600B"/>
    <w:rsid w:val="0065799E"/>
    <w:rsid w:val="0066034D"/>
    <w:rsid w:val="00660B92"/>
    <w:rsid w:val="00666391"/>
    <w:rsid w:val="00670FCF"/>
    <w:rsid w:val="00671D2F"/>
    <w:rsid w:val="0067262C"/>
    <w:rsid w:val="00672A1A"/>
    <w:rsid w:val="00673C47"/>
    <w:rsid w:val="00673DD3"/>
    <w:rsid w:val="006748F2"/>
    <w:rsid w:val="00674965"/>
    <w:rsid w:val="00674C5B"/>
    <w:rsid w:val="00674E18"/>
    <w:rsid w:val="00676701"/>
    <w:rsid w:val="00677C3F"/>
    <w:rsid w:val="006800AD"/>
    <w:rsid w:val="006804AA"/>
    <w:rsid w:val="00681E00"/>
    <w:rsid w:val="00684452"/>
    <w:rsid w:val="00687FBD"/>
    <w:rsid w:val="00693354"/>
    <w:rsid w:val="00693A63"/>
    <w:rsid w:val="00694D9F"/>
    <w:rsid w:val="00694FA7"/>
    <w:rsid w:val="00694FC9"/>
    <w:rsid w:val="00695166"/>
    <w:rsid w:val="006957E1"/>
    <w:rsid w:val="0069704C"/>
    <w:rsid w:val="006978D1"/>
    <w:rsid w:val="006A5137"/>
    <w:rsid w:val="006A6F49"/>
    <w:rsid w:val="006A72EF"/>
    <w:rsid w:val="006A7532"/>
    <w:rsid w:val="006B4868"/>
    <w:rsid w:val="006B7943"/>
    <w:rsid w:val="006C17D6"/>
    <w:rsid w:val="006C212D"/>
    <w:rsid w:val="006C2E96"/>
    <w:rsid w:val="006C3004"/>
    <w:rsid w:val="006C3E14"/>
    <w:rsid w:val="006D24AF"/>
    <w:rsid w:val="006D52AB"/>
    <w:rsid w:val="006D5F98"/>
    <w:rsid w:val="006E36C7"/>
    <w:rsid w:val="006E3C7A"/>
    <w:rsid w:val="006E57EC"/>
    <w:rsid w:val="006E6691"/>
    <w:rsid w:val="006E682D"/>
    <w:rsid w:val="006F094D"/>
    <w:rsid w:val="006F1399"/>
    <w:rsid w:val="006F13ED"/>
    <w:rsid w:val="006F55BA"/>
    <w:rsid w:val="00701048"/>
    <w:rsid w:val="007035BB"/>
    <w:rsid w:val="00704493"/>
    <w:rsid w:val="00704D52"/>
    <w:rsid w:val="0070681F"/>
    <w:rsid w:val="007122F5"/>
    <w:rsid w:val="007150E2"/>
    <w:rsid w:val="00715AEF"/>
    <w:rsid w:val="00715D85"/>
    <w:rsid w:val="00721234"/>
    <w:rsid w:val="007233D9"/>
    <w:rsid w:val="00725162"/>
    <w:rsid w:val="0072725E"/>
    <w:rsid w:val="007374C7"/>
    <w:rsid w:val="007374E4"/>
    <w:rsid w:val="00740D4B"/>
    <w:rsid w:val="007416AC"/>
    <w:rsid w:val="00741E52"/>
    <w:rsid w:val="00742F37"/>
    <w:rsid w:val="00744ECC"/>
    <w:rsid w:val="00746D66"/>
    <w:rsid w:val="007477B3"/>
    <w:rsid w:val="00751298"/>
    <w:rsid w:val="007514C7"/>
    <w:rsid w:val="007514F0"/>
    <w:rsid w:val="00753626"/>
    <w:rsid w:val="007540E2"/>
    <w:rsid w:val="007553CD"/>
    <w:rsid w:val="00757D32"/>
    <w:rsid w:val="007618A6"/>
    <w:rsid w:val="00762CBA"/>
    <w:rsid w:val="00764451"/>
    <w:rsid w:val="0076591A"/>
    <w:rsid w:val="00765DCA"/>
    <w:rsid w:val="00766D0E"/>
    <w:rsid w:val="00770589"/>
    <w:rsid w:val="0077301D"/>
    <w:rsid w:val="007735FC"/>
    <w:rsid w:val="00773FBC"/>
    <w:rsid w:val="0077406F"/>
    <w:rsid w:val="00774C74"/>
    <w:rsid w:val="00777078"/>
    <w:rsid w:val="00777EA9"/>
    <w:rsid w:val="007805FC"/>
    <w:rsid w:val="00781A84"/>
    <w:rsid w:val="00782AA3"/>
    <w:rsid w:val="00783B8C"/>
    <w:rsid w:val="00783EF9"/>
    <w:rsid w:val="00785849"/>
    <w:rsid w:val="007868AB"/>
    <w:rsid w:val="0079083D"/>
    <w:rsid w:val="00791E1B"/>
    <w:rsid w:val="007949D5"/>
    <w:rsid w:val="00794B53"/>
    <w:rsid w:val="00795DF0"/>
    <w:rsid w:val="0079693A"/>
    <w:rsid w:val="007A08FB"/>
    <w:rsid w:val="007A0D4E"/>
    <w:rsid w:val="007A2045"/>
    <w:rsid w:val="007A2347"/>
    <w:rsid w:val="007A23D6"/>
    <w:rsid w:val="007A41CC"/>
    <w:rsid w:val="007A5C29"/>
    <w:rsid w:val="007A5DE4"/>
    <w:rsid w:val="007A6769"/>
    <w:rsid w:val="007B02EC"/>
    <w:rsid w:val="007B12CD"/>
    <w:rsid w:val="007B46E0"/>
    <w:rsid w:val="007B4D01"/>
    <w:rsid w:val="007B7DE5"/>
    <w:rsid w:val="007C0546"/>
    <w:rsid w:val="007C0E7C"/>
    <w:rsid w:val="007C0FBF"/>
    <w:rsid w:val="007C253C"/>
    <w:rsid w:val="007C26E2"/>
    <w:rsid w:val="007C29FA"/>
    <w:rsid w:val="007C2A28"/>
    <w:rsid w:val="007C6A8B"/>
    <w:rsid w:val="007C6CF7"/>
    <w:rsid w:val="007C7F5F"/>
    <w:rsid w:val="007D0E84"/>
    <w:rsid w:val="007D3FE4"/>
    <w:rsid w:val="007D4257"/>
    <w:rsid w:val="007D61DF"/>
    <w:rsid w:val="007D66CB"/>
    <w:rsid w:val="007E20A5"/>
    <w:rsid w:val="007E49B1"/>
    <w:rsid w:val="007E4E4C"/>
    <w:rsid w:val="007E4EE5"/>
    <w:rsid w:val="007E5A17"/>
    <w:rsid w:val="007E7C62"/>
    <w:rsid w:val="007F14D3"/>
    <w:rsid w:val="007F6394"/>
    <w:rsid w:val="007F7AF9"/>
    <w:rsid w:val="0080029D"/>
    <w:rsid w:val="0080049D"/>
    <w:rsid w:val="008008F3"/>
    <w:rsid w:val="00800921"/>
    <w:rsid w:val="00801603"/>
    <w:rsid w:val="00801A71"/>
    <w:rsid w:val="00804D16"/>
    <w:rsid w:val="00807643"/>
    <w:rsid w:val="00807BC1"/>
    <w:rsid w:val="00810351"/>
    <w:rsid w:val="00811D66"/>
    <w:rsid w:val="00812E25"/>
    <w:rsid w:val="00814184"/>
    <w:rsid w:val="00814A79"/>
    <w:rsid w:val="00815D79"/>
    <w:rsid w:val="00816097"/>
    <w:rsid w:val="0081656E"/>
    <w:rsid w:val="00816775"/>
    <w:rsid w:val="008178D1"/>
    <w:rsid w:val="00820057"/>
    <w:rsid w:val="0082040B"/>
    <w:rsid w:val="00822822"/>
    <w:rsid w:val="00823000"/>
    <w:rsid w:val="00824C28"/>
    <w:rsid w:val="008268A1"/>
    <w:rsid w:val="00831DF2"/>
    <w:rsid w:val="00834635"/>
    <w:rsid w:val="008347CF"/>
    <w:rsid w:val="00837979"/>
    <w:rsid w:val="00841A61"/>
    <w:rsid w:val="00841F03"/>
    <w:rsid w:val="00843EAE"/>
    <w:rsid w:val="008447B1"/>
    <w:rsid w:val="00844D00"/>
    <w:rsid w:val="00847C41"/>
    <w:rsid w:val="00853E88"/>
    <w:rsid w:val="00856F5E"/>
    <w:rsid w:val="00860EB7"/>
    <w:rsid w:val="00862822"/>
    <w:rsid w:val="00864B76"/>
    <w:rsid w:val="00865457"/>
    <w:rsid w:val="00865D0C"/>
    <w:rsid w:val="00867384"/>
    <w:rsid w:val="00867B8E"/>
    <w:rsid w:val="008717EF"/>
    <w:rsid w:val="00871E17"/>
    <w:rsid w:val="0087248B"/>
    <w:rsid w:val="00872BFE"/>
    <w:rsid w:val="00877EC6"/>
    <w:rsid w:val="00881063"/>
    <w:rsid w:val="00882808"/>
    <w:rsid w:val="00885DBE"/>
    <w:rsid w:val="0089001B"/>
    <w:rsid w:val="00890BFF"/>
    <w:rsid w:val="00891FE4"/>
    <w:rsid w:val="0089357B"/>
    <w:rsid w:val="008936EA"/>
    <w:rsid w:val="008949E1"/>
    <w:rsid w:val="00894FD2"/>
    <w:rsid w:val="0089629D"/>
    <w:rsid w:val="00896913"/>
    <w:rsid w:val="00896B57"/>
    <w:rsid w:val="00897721"/>
    <w:rsid w:val="008978EA"/>
    <w:rsid w:val="00897EE1"/>
    <w:rsid w:val="008A0368"/>
    <w:rsid w:val="008A0BEE"/>
    <w:rsid w:val="008A4EA9"/>
    <w:rsid w:val="008A50F6"/>
    <w:rsid w:val="008A5B06"/>
    <w:rsid w:val="008A5E83"/>
    <w:rsid w:val="008B1A15"/>
    <w:rsid w:val="008B241D"/>
    <w:rsid w:val="008B6738"/>
    <w:rsid w:val="008B702B"/>
    <w:rsid w:val="008C13BB"/>
    <w:rsid w:val="008C154D"/>
    <w:rsid w:val="008C2144"/>
    <w:rsid w:val="008C2BDB"/>
    <w:rsid w:val="008C47DE"/>
    <w:rsid w:val="008C5101"/>
    <w:rsid w:val="008D1223"/>
    <w:rsid w:val="008D1A87"/>
    <w:rsid w:val="008D4E57"/>
    <w:rsid w:val="008D69F2"/>
    <w:rsid w:val="008E05E3"/>
    <w:rsid w:val="008E0A31"/>
    <w:rsid w:val="008E1AEF"/>
    <w:rsid w:val="008E1D46"/>
    <w:rsid w:val="008E3384"/>
    <w:rsid w:val="008E422C"/>
    <w:rsid w:val="008F0AF5"/>
    <w:rsid w:val="008F4BC9"/>
    <w:rsid w:val="008F5293"/>
    <w:rsid w:val="008F6ACA"/>
    <w:rsid w:val="008F7911"/>
    <w:rsid w:val="0090270F"/>
    <w:rsid w:val="00903AB6"/>
    <w:rsid w:val="00904D0A"/>
    <w:rsid w:val="00905EFB"/>
    <w:rsid w:val="00914DCB"/>
    <w:rsid w:val="00916102"/>
    <w:rsid w:val="00917D5D"/>
    <w:rsid w:val="00922A79"/>
    <w:rsid w:val="009232C0"/>
    <w:rsid w:val="009267E6"/>
    <w:rsid w:val="00927766"/>
    <w:rsid w:val="00930A9F"/>
    <w:rsid w:val="0093381C"/>
    <w:rsid w:val="009342CD"/>
    <w:rsid w:val="00936D56"/>
    <w:rsid w:val="00941A90"/>
    <w:rsid w:val="00941E79"/>
    <w:rsid w:val="00942056"/>
    <w:rsid w:val="0094413F"/>
    <w:rsid w:val="009446C7"/>
    <w:rsid w:val="0094470A"/>
    <w:rsid w:val="0094743B"/>
    <w:rsid w:val="00951F63"/>
    <w:rsid w:val="009527E3"/>
    <w:rsid w:val="00954EDC"/>
    <w:rsid w:val="009568E0"/>
    <w:rsid w:val="00960382"/>
    <w:rsid w:val="00960B23"/>
    <w:rsid w:val="00961EE9"/>
    <w:rsid w:val="0096338A"/>
    <w:rsid w:val="00963BC4"/>
    <w:rsid w:val="00964130"/>
    <w:rsid w:val="009645FC"/>
    <w:rsid w:val="00967DCC"/>
    <w:rsid w:val="009700E4"/>
    <w:rsid w:val="009702C3"/>
    <w:rsid w:val="00971194"/>
    <w:rsid w:val="00972283"/>
    <w:rsid w:val="00974A18"/>
    <w:rsid w:val="009765A3"/>
    <w:rsid w:val="009774BF"/>
    <w:rsid w:val="00977F0E"/>
    <w:rsid w:val="00981C07"/>
    <w:rsid w:val="00983931"/>
    <w:rsid w:val="00983A5F"/>
    <w:rsid w:val="00984178"/>
    <w:rsid w:val="00984628"/>
    <w:rsid w:val="00987D64"/>
    <w:rsid w:val="00987ED1"/>
    <w:rsid w:val="0099161C"/>
    <w:rsid w:val="00995783"/>
    <w:rsid w:val="00997AE1"/>
    <w:rsid w:val="00997CB4"/>
    <w:rsid w:val="009A2159"/>
    <w:rsid w:val="009A2AEB"/>
    <w:rsid w:val="009A4B42"/>
    <w:rsid w:val="009A7D52"/>
    <w:rsid w:val="009B0269"/>
    <w:rsid w:val="009B3DE3"/>
    <w:rsid w:val="009B6C39"/>
    <w:rsid w:val="009C067B"/>
    <w:rsid w:val="009C2938"/>
    <w:rsid w:val="009C6086"/>
    <w:rsid w:val="009C60EE"/>
    <w:rsid w:val="009D06D5"/>
    <w:rsid w:val="009D3592"/>
    <w:rsid w:val="009D6376"/>
    <w:rsid w:val="009D6CD3"/>
    <w:rsid w:val="009E3522"/>
    <w:rsid w:val="009E524D"/>
    <w:rsid w:val="009E5F37"/>
    <w:rsid w:val="009F0952"/>
    <w:rsid w:val="009F1C34"/>
    <w:rsid w:val="009F1FF1"/>
    <w:rsid w:val="009F31C6"/>
    <w:rsid w:val="009F3E0B"/>
    <w:rsid w:val="009F454D"/>
    <w:rsid w:val="009F5115"/>
    <w:rsid w:val="009F7272"/>
    <w:rsid w:val="009F7859"/>
    <w:rsid w:val="009F7FF3"/>
    <w:rsid w:val="00A018C0"/>
    <w:rsid w:val="00A01FB2"/>
    <w:rsid w:val="00A023D9"/>
    <w:rsid w:val="00A04653"/>
    <w:rsid w:val="00A050F3"/>
    <w:rsid w:val="00A0549C"/>
    <w:rsid w:val="00A06181"/>
    <w:rsid w:val="00A10B1F"/>
    <w:rsid w:val="00A12DB4"/>
    <w:rsid w:val="00A143E3"/>
    <w:rsid w:val="00A1446F"/>
    <w:rsid w:val="00A155E9"/>
    <w:rsid w:val="00A1580F"/>
    <w:rsid w:val="00A176E2"/>
    <w:rsid w:val="00A20444"/>
    <w:rsid w:val="00A20618"/>
    <w:rsid w:val="00A21302"/>
    <w:rsid w:val="00A25996"/>
    <w:rsid w:val="00A25FFF"/>
    <w:rsid w:val="00A305F7"/>
    <w:rsid w:val="00A33FC0"/>
    <w:rsid w:val="00A35935"/>
    <w:rsid w:val="00A36CE2"/>
    <w:rsid w:val="00A36F77"/>
    <w:rsid w:val="00A3730E"/>
    <w:rsid w:val="00A4091B"/>
    <w:rsid w:val="00A449A7"/>
    <w:rsid w:val="00A50275"/>
    <w:rsid w:val="00A53D83"/>
    <w:rsid w:val="00A53DE8"/>
    <w:rsid w:val="00A54165"/>
    <w:rsid w:val="00A544A9"/>
    <w:rsid w:val="00A60A03"/>
    <w:rsid w:val="00A6148D"/>
    <w:rsid w:val="00A6151C"/>
    <w:rsid w:val="00A61B52"/>
    <w:rsid w:val="00A61DBE"/>
    <w:rsid w:val="00A63A3B"/>
    <w:rsid w:val="00A65E04"/>
    <w:rsid w:val="00A66C63"/>
    <w:rsid w:val="00A71F80"/>
    <w:rsid w:val="00A720EA"/>
    <w:rsid w:val="00A73035"/>
    <w:rsid w:val="00A73C29"/>
    <w:rsid w:val="00A75A2A"/>
    <w:rsid w:val="00A77582"/>
    <w:rsid w:val="00A77BA9"/>
    <w:rsid w:val="00A85107"/>
    <w:rsid w:val="00A856FD"/>
    <w:rsid w:val="00A85B2F"/>
    <w:rsid w:val="00A85D48"/>
    <w:rsid w:val="00A863FD"/>
    <w:rsid w:val="00A8773D"/>
    <w:rsid w:val="00A907A9"/>
    <w:rsid w:val="00A911E5"/>
    <w:rsid w:val="00A91954"/>
    <w:rsid w:val="00A9207D"/>
    <w:rsid w:val="00A93175"/>
    <w:rsid w:val="00A9329D"/>
    <w:rsid w:val="00A94D84"/>
    <w:rsid w:val="00AB295A"/>
    <w:rsid w:val="00AB359B"/>
    <w:rsid w:val="00AB3952"/>
    <w:rsid w:val="00AB498C"/>
    <w:rsid w:val="00AB7C37"/>
    <w:rsid w:val="00AC0681"/>
    <w:rsid w:val="00AC1238"/>
    <w:rsid w:val="00AC22AA"/>
    <w:rsid w:val="00AC540F"/>
    <w:rsid w:val="00AC7A44"/>
    <w:rsid w:val="00AC7F3E"/>
    <w:rsid w:val="00AC7FD1"/>
    <w:rsid w:val="00AD025E"/>
    <w:rsid w:val="00AD0906"/>
    <w:rsid w:val="00AD1032"/>
    <w:rsid w:val="00AD2967"/>
    <w:rsid w:val="00AD2B7F"/>
    <w:rsid w:val="00AD3BDF"/>
    <w:rsid w:val="00AD565C"/>
    <w:rsid w:val="00AD5BA2"/>
    <w:rsid w:val="00AD695E"/>
    <w:rsid w:val="00AE0FCB"/>
    <w:rsid w:val="00AE68D6"/>
    <w:rsid w:val="00AF110D"/>
    <w:rsid w:val="00AF13EC"/>
    <w:rsid w:val="00AF1C9B"/>
    <w:rsid w:val="00AF1FD3"/>
    <w:rsid w:val="00AF4902"/>
    <w:rsid w:val="00AF5A54"/>
    <w:rsid w:val="00AF5C3B"/>
    <w:rsid w:val="00AF5CD2"/>
    <w:rsid w:val="00AF5F9A"/>
    <w:rsid w:val="00B023C6"/>
    <w:rsid w:val="00B02B2A"/>
    <w:rsid w:val="00B073A7"/>
    <w:rsid w:val="00B07FE0"/>
    <w:rsid w:val="00B10773"/>
    <w:rsid w:val="00B1092D"/>
    <w:rsid w:val="00B11BF5"/>
    <w:rsid w:val="00B13715"/>
    <w:rsid w:val="00B14257"/>
    <w:rsid w:val="00B17348"/>
    <w:rsid w:val="00B20483"/>
    <w:rsid w:val="00B20FD8"/>
    <w:rsid w:val="00B21D43"/>
    <w:rsid w:val="00B22CE5"/>
    <w:rsid w:val="00B22D50"/>
    <w:rsid w:val="00B22FD0"/>
    <w:rsid w:val="00B24100"/>
    <w:rsid w:val="00B25B50"/>
    <w:rsid w:val="00B26D55"/>
    <w:rsid w:val="00B307BE"/>
    <w:rsid w:val="00B30E44"/>
    <w:rsid w:val="00B320BF"/>
    <w:rsid w:val="00B32471"/>
    <w:rsid w:val="00B40FA6"/>
    <w:rsid w:val="00B42384"/>
    <w:rsid w:val="00B42F22"/>
    <w:rsid w:val="00B43BF9"/>
    <w:rsid w:val="00B4439A"/>
    <w:rsid w:val="00B46506"/>
    <w:rsid w:val="00B468A4"/>
    <w:rsid w:val="00B47129"/>
    <w:rsid w:val="00B47EDF"/>
    <w:rsid w:val="00B51948"/>
    <w:rsid w:val="00B5346C"/>
    <w:rsid w:val="00B54268"/>
    <w:rsid w:val="00B55506"/>
    <w:rsid w:val="00B56000"/>
    <w:rsid w:val="00B63718"/>
    <w:rsid w:val="00B64983"/>
    <w:rsid w:val="00B65524"/>
    <w:rsid w:val="00B658DA"/>
    <w:rsid w:val="00B66313"/>
    <w:rsid w:val="00B66A2D"/>
    <w:rsid w:val="00B706A9"/>
    <w:rsid w:val="00B711E9"/>
    <w:rsid w:val="00B72A12"/>
    <w:rsid w:val="00B73C7B"/>
    <w:rsid w:val="00B75839"/>
    <w:rsid w:val="00B75B1E"/>
    <w:rsid w:val="00B760D0"/>
    <w:rsid w:val="00B76C59"/>
    <w:rsid w:val="00B777DF"/>
    <w:rsid w:val="00B807AE"/>
    <w:rsid w:val="00B80EF3"/>
    <w:rsid w:val="00B8593E"/>
    <w:rsid w:val="00B85CE9"/>
    <w:rsid w:val="00B85F09"/>
    <w:rsid w:val="00B860CD"/>
    <w:rsid w:val="00B911D4"/>
    <w:rsid w:val="00B9157D"/>
    <w:rsid w:val="00B915D7"/>
    <w:rsid w:val="00B92E7C"/>
    <w:rsid w:val="00B94BE8"/>
    <w:rsid w:val="00B962EA"/>
    <w:rsid w:val="00B964A6"/>
    <w:rsid w:val="00BA0A30"/>
    <w:rsid w:val="00BA14DD"/>
    <w:rsid w:val="00BA200B"/>
    <w:rsid w:val="00BA2299"/>
    <w:rsid w:val="00BA2A24"/>
    <w:rsid w:val="00BA49D3"/>
    <w:rsid w:val="00BA4B16"/>
    <w:rsid w:val="00BB05F5"/>
    <w:rsid w:val="00BB0CE5"/>
    <w:rsid w:val="00BB17A8"/>
    <w:rsid w:val="00BB1ECF"/>
    <w:rsid w:val="00BB292D"/>
    <w:rsid w:val="00BB576B"/>
    <w:rsid w:val="00BB740C"/>
    <w:rsid w:val="00BC070F"/>
    <w:rsid w:val="00BC0DC5"/>
    <w:rsid w:val="00BC0F52"/>
    <w:rsid w:val="00BC170D"/>
    <w:rsid w:val="00BC1C47"/>
    <w:rsid w:val="00BC456E"/>
    <w:rsid w:val="00BC4F26"/>
    <w:rsid w:val="00BD3F1B"/>
    <w:rsid w:val="00BD3F3B"/>
    <w:rsid w:val="00BD63AD"/>
    <w:rsid w:val="00BD7D46"/>
    <w:rsid w:val="00BE0208"/>
    <w:rsid w:val="00BE3A50"/>
    <w:rsid w:val="00BE472C"/>
    <w:rsid w:val="00BE6792"/>
    <w:rsid w:val="00BF1718"/>
    <w:rsid w:val="00BF6468"/>
    <w:rsid w:val="00C00ACB"/>
    <w:rsid w:val="00C05EC1"/>
    <w:rsid w:val="00C05F82"/>
    <w:rsid w:val="00C06664"/>
    <w:rsid w:val="00C10F74"/>
    <w:rsid w:val="00C12216"/>
    <w:rsid w:val="00C12536"/>
    <w:rsid w:val="00C14108"/>
    <w:rsid w:val="00C1412A"/>
    <w:rsid w:val="00C142D3"/>
    <w:rsid w:val="00C14E1A"/>
    <w:rsid w:val="00C15436"/>
    <w:rsid w:val="00C15730"/>
    <w:rsid w:val="00C15E98"/>
    <w:rsid w:val="00C16090"/>
    <w:rsid w:val="00C165B5"/>
    <w:rsid w:val="00C24349"/>
    <w:rsid w:val="00C270A6"/>
    <w:rsid w:val="00C2714B"/>
    <w:rsid w:val="00C2765E"/>
    <w:rsid w:val="00C27D05"/>
    <w:rsid w:val="00C3159F"/>
    <w:rsid w:val="00C329CF"/>
    <w:rsid w:val="00C32E82"/>
    <w:rsid w:val="00C33520"/>
    <w:rsid w:val="00C3517E"/>
    <w:rsid w:val="00C368C7"/>
    <w:rsid w:val="00C36FE8"/>
    <w:rsid w:val="00C37A6C"/>
    <w:rsid w:val="00C37E27"/>
    <w:rsid w:val="00C401B3"/>
    <w:rsid w:val="00C41C01"/>
    <w:rsid w:val="00C4329F"/>
    <w:rsid w:val="00C43AD1"/>
    <w:rsid w:val="00C45D31"/>
    <w:rsid w:val="00C46323"/>
    <w:rsid w:val="00C57DD8"/>
    <w:rsid w:val="00C60410"/>
    <w:rsid w:val="00C61313"/>
    <w:rsid w:val="00C6522F"/>
    <w:rsid w:val="00C707A9"/>
    <w:rsid w:val="00C71274"/>
    <w:rsid w:val="00C71647"/>
    <w:rsid w:val="00C7186E"/>
    <w:rsid w:val="00C71D47"/>
    <w:rsid w:val="00C74D8F"/>
    <w:rsid w:val="00C7657A"/>
    <w:rsid w:val="00C7739F"/>
    <w:rsid w:val="00C805DB"/>
    <w:rsid w:val="00C815CB"/>
    <w:rsid w:val="00C8656E"/>
    <w:rsid w:val="00C87D16"/>
    <w:rsid w:val="00C90B30"/>
    <w:rsid w:val="00C91720"/>
    <w:rsid w:val="00C91A82"/>
    <w:rsid w:val="00C91E02"/>
    <w:rsid w:val="00C92B93"/>
    <w:rsid w:val="00C967CF"/>
    <w:rsid w:val="00C97371"/>
    <w:rsid w:val="00CA05DA"/>
    <w:rsid w:val="00CA0A8B"/>
    <w:rsid w:val="00CA1298"/>
    <w:rsid w:val="00CA2511"/>
    <w:rsid w:val="00CA26C7"/>
    <w:rsid w:val="00CA42A9"/>
    <w:rsid w:val="00CB21E8"/>
    <w:rsid w:val="00CB22DE"/>
    <w:rsid w:val="00CB32EF"/>
    <w:rsid w:val="00CB44B8"/>
    <w:rsid w:val="00CB45D3"/>
    <w:rsid w:val="00CB4F2E"/>
    <w:rsid w:val="00CB55B6"/>
    <w:rsid w:val="00CB5CA5"/>
    <w:rsid w:val="00CB6B2D"/>
    <w:rsid w:val="00CB6E40"/>
    <w:rsid w:val="00CB7B4E"/>
    <w:rsid w:val="00CC0798"/>
    <w:rsid w:val="00CC1C21"/>
    <w:rsid w:val="00CC2097"/>
    <w:rsid w:val="00CC244D"/>
    <w:rsid w:val="00CC4193"/>
    <w:rsid w:val="00CC450C"/>
    <w:rsid w:val="00CC7EEC"/>
    <w:rsid w:val="00CD101F"/>
    <w:rsid w:val="00CD3FA3"/>
    <w:rsid w:val="00CD3FA4"/>
    <w:rsid w:val="00CD539A"/>
    <w:rsid w:val="00CD6A50"/>
    <w:rsid w:val="00CD7232"/>
    <w:rsid w:val="00CD7629"/>
    <w:rsid w:val="00CE1E67"/>
    <w:rsid w:val="00CE379D"/>
    <w:rsid w:val="00CE63DE"/>
    <w:rsid w:val="00CF1A2F"/>
    <w:rsid w:val="00CF3FE7"/>
    <w:rsid w:val="00CF4E44"/>
    <w:rsid w:val="00CF68B2"/>
    <w:rsid w:val="00D01B01"/>
    <w:rsid w:val="00D01B98"/>
    <w:rsid w:val="00D02895"/>
    <w:rsid w:val="00D050B7"/>
    <w:rsid w:val="00D06B84"/>
    <w:rsid w:val="00D07730"/>
    <w:rsid w:val="00D127A7"/>
    <w:rsid w:val="00D1755F"/>
    <w:rsid w:val="00D17B62"/>
    <w:rsid w:val="00D215F7"/>
    <w:rsid w:val="00D23024"/>
    <w:rsid w:val="00D237E7"/>
    <w:rsid w:val="00D25115"/>
    <w:rsid w:val="00D25683"/>
    <w:rsid w:val="00D25CC8"/>
    <w:rsid w:val="00D25FAC"/>
    <w:rsid w:val="00D27C19"/>
    <w:rsid w:val="00D32486"/>
    <w:rsid w:val="00D32EC2"/>
    <w:rsid w:val="00D35557"/>
    <w:rsid w:val="00D36ADC"/>
    <w:rsid w:val="00D36C82"/>
    <w:rsid w:val="00D36CE0"/>
    <w:rsid w:val="00D40715"/>
    <w:rsid w:val="00D432B1"/>
    <w:rsid w:val="00D44A87"/>
    <w:rsid w:val="00D47458"/>
    <w:rsid w:val="00D51B1E"/>
    <w:rsid w:val="00D5321C"/>
    <w:rsid w:val="00D553BB"/>
    <w:rsid w:val="00D55480"/>
    <w:rsid w:val="00D57DAD"/>
    <w:rsid w:val="00D604AD"/>
    <w:rsid w:val="00D60B73"/>
    <w:rsid w:val="00D620BF"/>
    <w:rsid w:val="00D632A5"/>
    <w:rsid w:val="00D6362C"/>
    <w:rsid w:val="00D644B4"/>
    <w:rsid w:val="00D66BA3"/>
    <w:rsid w:val="00D67139"/>
    <w:rsid w:val="00D67E1F"/>
    <w:rsid w:val="00D721FB"/>
    <w:rsid w:val="00D73EBC"/>
    <w:rsid w:val="00D75584"/>
    <w:rsid w:val="00D7635D"/>
    <w:rsid w:val="00D77ECF"/>
    <w:rsid w:val="00D803E8"/>
    <w:rsid w:val="00D8048D"/>
    <w:rsid w:val="00D8103B"/>
    <w:rsid w:val="00D827E7"/>
    <w:rsid w:val="00D866CF"/>
    <w:rsid w:val="00D86896"/>
    <w:rsid w:val="00D86AB0"/>
    <w:rsid w:val="00D86FAB"/>
    <w:rsid w:val="00D870EF"/>
    <w:rsid w:val="00D90D9B"/>
    <w:rsid w:val="00D92427"/>
    <w:rsid w:val="00D93B43"/>
    <w:rsid w:val="00D947A8"/>
    <w:rsid w:val="00D95371"/>
    <w:rsid w:val="00D9636D"/>
    <w:rsid w:val="00D97F8A"/>
    <w:rsid w:val="00DA18BD"/>
    <w:rsid w:val="00DA3DC0"/>
    <w:rsid w:val="00DA4ECE"/>
    <w:rsid w:val="00DA550F"/>
    <w:rsid w:val="00DA61F8"/>
    <w:rsid w:val="00DA66E8"/>
    <w:rsid w:val="00DA733A"/>
    <w:rsid w:val="00DA7E12"/>
    <w:rsid w:val="00DB0A0A"/>
    <w:rsid w:val="00DB2846"/>
    <w:rsid w:val="00DB29A6"/>
    <w:rsid w:val="00DB2F7E"/>
    <w:rsid w:val="00DB3252"/>
    <w:rsid w:val="00DB47CC"/>
    <w:rsid w:val="00DB4B6A"/>
    <w:rsid w:val="00DC0172"/>
    <w:rsid w:val="00DC167C"/>
    <w:rsid w:val="00DC196B"/>
    <w:rsid w:val="00DC587E"/>
    <w:rsid w:val="00DC705C"/>
    <w:rsid w:val="00DD0C3C"/>
    <w:rsid w:val="00DD1740"/>
    <w:rsid w:val="00DD1A5F"/>
    <w:rsid w:val="00DD23BA"/>
    <w:rsid w:val="00DD2AFA"/>
    <w:rsid w:val="00DD3DA5"/>
    <w:rsid w:val="00DE0CAE"/>
    <w:rsid w:val="00DE2DAC"/>
    <w:rsid w:val="00DE2E5A"/>
    <w:rsid w:val="00DE2FDA"/>
    <w:rsid w:val="00DE3E27"/>
    <w:rsid w:val="00DE5A33"/>
    <w:rsid w:val="00DE7B24"/>
    <w:rsid w:val="00DF2A04"/>
    <w:rsid w:val="00DF2EE1"/>
    <w:rsid w:val="00DF3520"/>
    <w:rsid w:val="00DF4A67"/>
    <w:rsid w:val="00DF4DD0"/>
    <w:rsid w:val="00DF5384"/>
    <w:rsid w:val="00E00664"/>
    <w:rsid w:val="00E00C9A"/>
    <w:rsid w:val="00E00E07"/>
    <w:rsid w:val="00E01017"/>
    <w:rsid w:val="00E022C7"/>
    <w:rsid w:val="00E03901"/>
    <w:rsid w:val="00E048D3"/>
    <w:rsid w:val="00E15A58"/>
    <w:rsid w:val="00E2174F"/>
    <w:rsid w:val="00E25092"/>
    <w:rsid w:val="00E257C0"/>
    <w:rsid w:val="00E26742"/>
    <w:rsid w:val="00E26A93"/>
    <w:rsid w:val="00E307CC"/>
    <w:rsid w:val="00E32917"/>
    <w:rsid w:val="00E32A36"/>
    <w:rsid w:val="00E33187"/>
    <w:rsid w:val="00E34977"/>
    <w:rsid w:val="00E41ADF"/>
    <w:rsid w:val="00E4526B"/>
    <w:rsid w:val="00E46022"/>
    <w:rsid w:val="00E462F4"/>
    <w:rsid w:val="00E4692C"/>
    <w:rsid w:val="00E5121A"/>
    <w:rsid w:val="00E514E0"/>
    <w:rsid w:val="00E51939"/>
    <w:rsid w:val="00E53336"/>
    <w:rsid w:val="00E53ED7"/>
    <w:rsid w:val="00E54003"/>
    <w:rsid w:val="00E5557E"/>
    <w:rsid w:val="00E55FB7"/>
    <w:rsid w:val="00E60903"/>
    <w:rsid w:val="00E641FB"/>
    <w:rsid w:val="00E676CF"/>
    <w:rsid w:val="00E70202"/>
    <w:rsid w:val="00E7568F"/>
    <w:rsid w:val="00E766F8"/>
    <w:rsid w:val="00E772D7"/>
    <w:rsid w:val="00E8260C"/>
    <w:rsid w:val="00E82D74"/>
    <w:rsid w:val="00E84CB2"/>
    <w:rsid w:val="00E87800"/>
    <w:rsid w:val="00E90AD5"/>
    <w:rsid w:val="00E910DE"/>
    <w:rsid w:val="00E91ABE"/>
    <w:rsid w:val="00E96A3D"/>
    <w:rsid w:val="00EA320B"/>
    <w:rsid w:val="00EA3CDC"/>
    <w:rsid w:val="00EA59A0"/>
    <w:rsid w:val="00EA5C44"/>
    <w:rsid w:val="00EA6B91"/>
    <w:rsid w:val="00EA7D39"/>
    <w:rsid w:val="00EB02C6"/>
    <w:rsid w:val="00EB28EF"/>
    <w:rsid w:val="00EB329F"/>
    <w:rsid w:val="00EB3879"/>
    <w:rsid w:val="00EB4A9A"/>
    <w:rsid w:val="00EB52B1"/>
    <w:rsid w:val="00EC1BE1"/>
    <w:rsid w:val="00EC3743"/>
    <w:rsid w:val="00EC3981"/>
    <w:rsid w:val="00EC5880"/>
    <w:rsid w:val="00EC7E05"/>
    <w:rsid w:val="00EC7FAA"/>
    <w:rsid w:val="00ED0228"/>
    <w:rsid w:val="00ED0CC3"/>
    <w:rsid w:val="00ED321B"/>
    <w:rsid w:val="00ED47B9"/>
    <w:rsid w:val="00ED482E"/>
    <w:rsid w:val="00ED49A6"/>
    <w:rsid w:val="00ED4D93"/>
    <w:rsid w:val="00ED749B"/>
    <w:rsid w:val="00ED7E53"/>
    <w:rsid w:val="00EE0CB9"/>
    <w:rsid w:val="00EE1814"/>
    <w:rsid w:val="00EE2073"/>
    <w:rsid w:val="00EE3412"/>
    <w:rsid w:val="00EE4B10"/>
    <w:rsid w:val="00EE5719"/>
    <w:rsid w:val="00EE6907"/>
    <w:rsid w:val="00EE704D"/>
    <w:rsid w:val="00EF24A1"/>
    <w:rsid w:val="00EF654E"/>
    <w:rsid w:val="00EF6DA3"/>
    <w:rsid w:val="00F00F52"/>
    <w:rsid w:val="00F00FE4"/>
    <w:rsid w:val="00F01153"/>
    <w:rsid w:val="00F0125E"/>
    <w:rsid w:val="00F01433"/>
    <w:rsid w:val="00F01D74"/>
    <w:rsid w:val="00F02B1D"/>
    <w:rsid w:val="00F02D95"/>
    <w:rsid w:val="00F03E3F"/>
    <w:rsid w:val="00F10955"/>
    <w:rsid w:val="00F11EF2"/>
    <w:rsid w:val="00F12338"/>
    <w:rsid w:val="00F12659"/>
    <w:rsid w:val="00F129C4"/>
    <w:rsid w:val="00F13CB0"/>
    <w:rsid w:val="00F205DA"/>
    <w:rsid w:val="00F2199B"/>
    <w:rsid w:val="00F2235E"/>
    <w:rsid w:val="00F22409"/>
    <w:rsid w:val="00F22D71"/>
    <w:rsid w:val="00F24C70"/>
    <w:rsid w:val="00F256B5"/>
    <w:rsid w:val="00F261C0"/>
    <w:rsid w:val="00F26F57"/>
    <w:rsid w:val="00F30F5C"/>
    <w:rsid w:val="00F3248E"/>
    <w:rsid w:val="00F342A5"/>
    <w:rsid w:val="00F40E1D"/>
    <w:rsid w:val="00F430AC"/>
    <w:rsid w:val="00F432E1"/>
    <w:rsid w:val="00F43733"/>
    <w:rsid w:val="00F50A91"/>
    <w:rsid w:val="00F52897"/>
    <w:rsid w:val="00F52FBE"/>
    <w:rsid w:val="00F53593"/>
    <w:rsid w:val="00F54C17"/>
    <w:rsid w:val="00F54D33"/>
    <w:rsid w:val="00F64DBE"/>
    <w:rsid w:val="00F65E52"/>
    <w:rsid w:val="00F6665A"/>
    <w:rsid w:val="00F67392"/>
    <w:rsid w:val="00F71724"/>
    <w:rsid w:val="00F7248F"/>
    <w:rsid w:val="00F72961"/>
    <w:rsid w:val="00F7394F"/>
    <w:rsid w:val="00F73C68"/>
    <w:rsid w:val="00F746D1"/>
    <w:rsid w:val="00F86C85"/>
    <w:rsid w:val="00F90CA9"/>
    <w:rsid w:val="00F92EA8"/>
    <w:rsid w:val="00F935E3"/>
    <w:rsid w:val="00F93801"/>
    <w:rsid w:val="00F974B5"/>
    <w:rsid w:val="00F97713"/>
    <w:rsid w:val="00FA0395"/>
    <w:rsid w:val="00FA1180"/>
    <w:rsid w:val="00FA4E20"/>
    <w:rsid w:val="00FA5DFC"/>
    <w:rsid w:val="00FA61B2"/>
    <w:rsid w:val="00FA7BD8"/>
    <w:rsid w:val="00FA7CFE"/>
    <w:rsid w:val="00FB087B"/>
    <w:rsid w:val="00FB1375"/>
    <w:rsid w:val="00FB2D88"/>
    <w:rsid w:val="00FB413E"/>
    <w:rsid w:val="00FB4909"/>
    <w:rsid w:val="00FB56A2"/>
    <w:rsid w:val="00FB6A86"/>
    <w:rsid w:val="00FC165D"/>
    <w:rsid w:val="00FC23F4"/>
    <w:rsid w:val="00FC313C"/>
    <w:rsid w:val="00FC31F3"/>
    <w:rsid w:val="00FC3E54"/>
    <w:rsid w:val="00FC5223"/>
    <w:rsid w:val="00FD2F6B"/>
    <w:rsid w:val="00FD49AE"/>
    <w:rsid w:val="00FD4ECE"/>
    <w:rsid w:val="00FD6CC5"/>
    <w:rsid w:val="00FE0019"/>
    <w:rsid w:val="00FE030D"/>
    <w:rsid w:val="00FE0BFD"/>
    <w:rsid w:val="00FE35D5"/>
    <w:rsid w:val="00FE3A87"/>
    <w:rsid w:val="00FE4950"/>
    <w:rsid w:val="00FE788A"/>
    <w:rsid w:val="00FE7E1A"/>
    <w:rsid w:val="00FF0B40"/>
    <w:rsid w:val="00FF1000"/>
    <w:rsid w:val="00FF116B"/>
    <w:rsid w:val="00FF209B"/>
    <w:rsid w:val="00FF2A21"/>
    <w:rsid w:val="00FF2EC5"/>
    <w:rsid w:val="00FF4F9A"/>
    <w:rsid w:val="00FF51AB"/>
    <w:rsid w:val="00FF53EB"/>
    <w:rsid w:val="00FF7667"/>
    <w:rsid w:val="00FF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396CF"/>
  <w15:chartTrackingRefBased/>
  <w15:docId w15:val="{9C380278-646C-4230-BE41-889DC54C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1399"/>
    <w:pPr>
      <w:spacing w:before="120" w:after="120" w:line="260" w:lineRule="atLeast"/>
    </w:pPr>
    <w:rPr>
      <w:rFonts w:ascii="Arial" w:eastAsia="Calibri" w:hAnsi="Arial" w:cs="Times New Roman"/>
      <w:sz w:val="20"/>
    </w:rPr>
  </w:style>
  <w:style w:type="paragraph" w:styleId="Heading1">
    <w:name w:val="heading 1"/>
    <w:basedOn w:val="Normal"/>
    <w:next w:val="Normal"/>
    <w:link w:val="Heading1Char"/>
    <w:qFormat/>
    <w:rsid w:val="00A25996"/>
    <w:pPr>
      <w:keepNext/>
      <w:keepLines/>
      <w:pageBreakBefore/>
      <w:tabs>
        <w:tab w:val="left" w:pos="720"/>
      </w:tabs>
      <w:spacing w:before="240"/>
      <w:outlineLvl w:val="0"/>
    </w:pPr>
    <w:rPr>
      <w:b/>
      <w:color w:val="002960"/>
      <w:sz w:val="28"/>
    </w:rPr>
  </w:style>
  <w:style w:type="paragraph" w:styleId="Heading2">
    <w:name w:val="heading 2"/>
    <w:next w:val="Normal"/>
    <w:link w:val="Heading2Char"/>
    <w:unhideWhenUsed/>
    <w:qFormat/>
    <w:rsid w:val="00A25996"/>
    <w:pPr>
      <w:keepNext/>
      <w:keepLines/>
      <w:numPr>
        <w:ilvl w:val="1"/>
        <w:numId w:val="2"/>
      </w:numPr>
      <w:tabs>
        <w:tab w:val="left" w:pos="720"/>
      </w:tabs>
      <w:spacing w:before="240" w:after="120" w:line="240" w:lineRule="auto"/>
      <w:outlineLvl w:val="1"/>
    </w:pPr>
    <w:rPr>
      <w:rFonts w:ascii="Arial" w:eastAsia="Batang" w:hAnsi="Arial" w:cs="Times New Roman"/>
      <w:b/>
      <w:color w:val="002960"/>
      <w:sz w:val="26"/>
      <w:szCs w:val="28"/>
      <w:lang w:eastAsia="ja-JP"/>
    </w:rPr>
  </w:style>
  <w:style w:type="paragraph" w:styleId="Heading3">
    <w:name w:val="heading 3"/>
    <w:next w:val="Normal"/>
    <w:link w:val="Heading3Char"/>
    <w:unhideWhenUsed/>
    <w:qFormat/>
    <w:rsid w:val="00A25996"/>
    <w:pPr>
      <w:keepNext/>
      <w:keepLines/>
      <w:numPr>
        <w:ilvl w:val="2"/>
        <w:numId w:val="2"/>
      </w:numPr>
      <w:tabs>
        <w:tab w:val="left" w:pos="1080"/>
      </w:tabs>
      <w:spacing w:before="240" w:after="120" w:line="240" w:lineRule="auto"/>
      <w:outlineLvl w:val="2"/>
    </w:pPr>
    <w:rPr>
      <w:rFonts w:ascii="Arial" w:eastAsia="Calibri" w:hAnsi="Arial" w:cs="Times New Roman"/>
      <w:b/>
      <w:sz w:val="26"/>
      <w:szCs w:val="24"/>
      <w:lang w:eastAsia="ja-JP"/>
    </w:rPr>
  </w:style>
  <w:style w:type="paragraph" w:styleId="Heading4">
    <w:name w:val="heading 4"/>
    <w:next w:val="Normal"/>
    <w:link w:val="Heading4Char"/>
    <w:unhideWhenUsed/>
    <w:qFormat/>
    <w:rsid w:val="00A25996"/>
    <w:pPr>
      <w:keepNext/>
      <w:keepLines/>
      <w:numPr>
        <w:ilvl w:val="3"/>
        <w:numId w:val="2"/>
      </w:numPr>
      <w:tabs>
        <w:tab w:val="left" w:pos="1080"/>
      </w:tabs>
      <w:spacing w:before="240" w:after="120" w:line="240" w:lineRule="auto"/>
      <w:outlineLvl w:val="3"/>
    </w:pPr>
    <w:rPr>
      <w:rFonts w:ascii="Arial" w:eastAsia="Times New Roman" w:hAnsi="Arial" w:cs="Times New Roman"/>
      <w:b/>
      <w:bCs/>
      <w:iCs/>
      <w:szCs w:val="28"/>
      <w:lang w:eastAsia="ja-JP"/>
    </w:rPr>
  </w:style>
  <w:style w:type="paragraph" w:styleId="Heading5">
    <w:name w:val="heading 5"/>
    <w:next w:val="Normal"/>
    <w:link w:val="Heading5Char"/>
    <w:qFormat/>
    <w:rsid w:val="00A25996"/>
    <w:pPr>
      <w:keepNext/>
      <w:keepLines/>
      <w:numPr>
        <w:ilvl w:val="4"/>
        <w:numId w:val="2"/>
      </w:numPr>
      <w:tabs>
        <w:tab w:val="left" w:pos="1440"/>
      </w:tabs>
      <w:spacing w:before="240" w:after="120" w:line="240" w:lineRule="auto"/>
      <w:outlineLvl w:val="4"/>
    </w:pPr>
    <w:rPr>
      <w:rFonts w:ascii="Arial" w:eastAsia="Times New Roman" w:hAnsi="Arial" w:cs="Times New Roman"/>
      <w:b/>
    </w:rPr>
  </w:style>
  <w:style w:type="paragraph" w:styleId="Heading6">
    <w:name w:val="heading 6"/>
    <w:basedOn w:val="Normal"/>
    <w:next w:val="Normal"/>
    <w:link w:val="Heading6Char"/>
    <w:qFormat/>
    <w:rsid w:val="00A25996"/>
    <w:pPr>
      <w:keepNext/>
      <w:keepLines/>
      <w:numPr>
        <w:ilvl w:val="5"/>
        <w:numId w:val="2"/>
      </w:numPr>
      <w:tabs>
        <w:tab w:val="left" w:pos="1440"/>
      </w:tabs>
      <w:spacing w:before="240"/>
      <w:outlineLvl w:val="5"/>
    </w:pPr>
    <w:rPr>
      <w:rFonts w:eastAsia="Times New Roman" w:cs="Arial"/>
      <w:b/>
      <w:iCs/>
      <w:szCs w:val="24"/>
    </w:rPr>
  </w:style>
  <w:style w:type="paragraph" w:styleId="Heading7">
    <w:name w:val="heading 7"/>
    <w:next w:val="Normal"/>
    <w:link w:val="Heading7Char"/>
    <w:autoRedefine/>
    <w:qFormat/>
    <w:rsid w:val="00A25996"/>
    <w:pPr>
      <w:keepNext/>
      <w:keepLines/>
      <w:numPr>
        <w:ilvl w:val="6"/>
        <w:numId w:val="2"/>
      </w:numPr>
      <w:tabs>
        <w:tab w:val="left" w:pos="1800"/>
      </w:tabs>
      <w:spacing w:before="240" w:after="120" w:line="240" w:lineRule="auto"/>
      <w:outlineLvl w:val="6"/>
    </w:pPr>
    <w:rPr>
      <w:rFonts w:ascii="Arial" w:eastAsia="Times New Roman" w:hAnsi="Arial" w:cs="Arial"/>
      <w:b/>
      <w:bCs/>
    </w:rPr>
  </w:style>
  <w:style w:type="paragraph" w:styleId="Heading8">
    <w:name w:val="heading 8"/>
    <w:next w:val="Normal"/>
    <w:link w:val="Heading8Char"/>
    <w:qFormat/>
    <w:rsid w:val="00A25996"/>
    <w:pPr>
      <w:keepNext/>
      <w:keepLines/>
      <w:numPr>
        <w:ilvl w:val="7"/>
        <w:numId w:val="2"/>
      </w:numPr>
      <w:tabs>
        <w:tab w:val="left" w:pos="1800"/>
      </w:tabs>
      <w:spacing w:before="240" w:after="120" w:line="240" w:lineRule="auto"/>
      <w:outlineLvl w:val="7"/>
    </w:pPr>
    <w:rPr>
      <w:rFonts w:ascii="Arial" w:eastAsia="Calibri" w:hAnsi="Arial" w:cs="Arial"/>
      <w:b/>
      <w:bCs/>
    </w:rPr>
  </w:style>
  <w:style w:type="paragraph" w:styleId="Heading9">
    <w:name w:val="heading 9"/>
    <w:next w:val="Normal"/>
    <w:link w:val="Heading9Char"/>
    <w:qFormat/>
    <w:rsid w:val="00A25996"/>
    <w:pPr>
      <w:keepNext/>
      <w:keepLines/>
      <w:numPr>
        <w:ilvl w:val="8"/>
        <w:numId w:val="2"/>
      </w:numPr>
      <w:tabs>
        <w:tab w:val="left" w:pos="1800"/>
      </w:tabs>
      <w:spacing w:before="240" w:after="120" w:line="240" w:lineRule="auto"/>
      <w:outlineLvl w:val="8"/>
    </w:pPr>
    <w:rPr>
      <w:rFonts w:ascii="Arial" w:eastAsia="Calibri" w:hAnsi="Arial"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996"/>
    <w:rPr>
      <w:rFonts w:ascii="Arial" w:eastAsia="Calibri" w:hAnsi="Arial" w:cs="Times New Roman"/>
      <w:b/>
      <w:color w:val="002960"/>
      <w:sz w:val="28"/>
    </w:rPr>
  </w:style>
  <w:style w:type="character" w:customStyle="1" w:styleId="Heading2Char">
    <w:name w:val="Heading 2 Char"/>
    <w:basedOn w:val="DefaultParagraphFont"/>
    <w:link w:val="Heading2"/>
    <w:rsid w:val="00A25996"/>
    <w:rPr>
      <w:rFonts w:ascii="Arial" w:eastAsia="Batang" w:hAnsi="Arial" w:cs="Times New Roman"/>
      <w:b/>
      <w:color w:val="002960"/>
      <w:sz w:val="26"/>
      <w:szCs w:val="28"/>
      <w:lang w:eastAsia="ja-JP"/>
    </w:rPr>
  </w:style>
  <w:style w:type="character" w:customStyle="1" w:styleId="Heading3Char">
    <w:name w:val="Heading 3 Char"/>
    <w:basedOn w:val="DefaultParagraphFont"/>
    <w:link w:val="Heading3"/>
    <w:rsid w:val="00A25996"/>
    <w:rPr>
      <w:rFonts w:ascii="Arial" w:eastAsia="Calibri" w:hAnsi="Arial" w:cs="Times New Roman"/>
      <w:b/>
      <w:sz w:val="26"/>
      <w:szCs w:val="24"/>
      <w:lang w:eastAsia="ja-JP"/>
    </w:rPr>
  </w:style>
  <w:style w:type="character" w:customStyle="1" w:styleId="Heading4Char">
    <w:name w:val="Heading 4 Char"/>
    <w:basedOn w:val="DefaultParagraphFont"/>
    <w:link w:val="Heading4"/>
    <w:rsid w:val="00A25996"/>
    <w:rPr>
      <w:rFonts w:ascii="Arial" w:eastAsia="Times New Roman" w:hAnsi="Arial" w:cs="Times New Roman"/>
      <w:b/>
      <w:bCs/>
      <w:iCs/>
      <w:szCs w:val="28"/>
      <w:lang w:eastAsia="ja-JP"/>
    </w:rPr>
  </w:style>
  <w:style w:type="character" w:customStyle="1" w:styleId="Heading5Char">
    <w:name w:val="Heading 5 Char"/>
    <w:basedOn w:val="DefaultParagraphFont"/>
    <w:link w:val="Heading5"/>
    <w:rsid w:val="00A25996"/>
    <w:rPr>
      <w:rFonts w:ascii="Arial" w:eastAsia="Times New Roman" w:hAnsi="Arial" w:cs="Times New Roman"/>
      <w:b/>
    </w:rPr>
  </w:style>
  <w:style w:type="character" w:customStyle="1" w:styleId="Heading6Char">
    <w:name w:val="Heading 6 Char"/>
    <w:basedOn w:val="DefaultParagraphFont"/>
    <w:link w:val="Heading6"/>
    <w:rsid w:val="00A25996"/>
    <w:rPr>
      <w:rFonts w:ascii="Arial" w:eastAsia="Times New Roman" w:hAnsi="Arial" w:cs="Arial"/>
      <w:b/>
      <w:iCs/>
      <w:sz w:val="20"/>
      <w:szCs w:val="24"/>
    </w:rPr>
  </w:style>
  <w:style w:type="character" w:customStyle="1" w:styleId="Heading7Char">
    <w:name w:val="Heading 7 Char"/>
    <w:basedOn w:val="DefaultParagraphFont"/>
    <w:link w:val="Heading7"/>
    <w:rsid w:val="00A25996"/>
    <w:rPr>
      <w:rFonts w:ascii="Arial" w:eastAsia="Times New Roman" w:hAnsi="Arial" w:cs="Arial"/>
      <w:b/>
      <w:bCs/>
    </w:rPr>
  </w:style>
  <w:style w:type="character" w:customStyle="1" w:styleId="Heading8Char">
    <w:name w:val="Heading 8 Char"/>
    <w:basedOn w:val="DefaultParagraphFont"/>
    <w:link w:val="Heading8"/>
    <w:rsid w:val="00A25996"/>
    <w:rPr>
      <w:rFonts w:ascii="Arial" w:eastAsia="Calibri" w:hAnsi="Arial" w:cs="Arial"/>
      <w:b/>
      <w:bCs/>
    </w:rPr>
  </w:style>
  <w:style w:type="character" w:customStyle="1" w:styleId="Heading9Char">
    <w:name w:val="Heading 9 Char"/>
    <w:basedOn w:val="DefaultParagraphFont"/>
    <w:link w:val="Heading9"/>
    <w:rsid w:val="00A25996"/>
    <w:rPr>
      <w:rFonts w:ascii="Arial" w:eastAsia="Calibri" w:hAnsi="Arial" w:cs="Arial"/>
      <w:b/>
      <w:bCs/>
      <w:iCs/>
    </w:rPr>
  </w:style>
  <w:style w:type="paragraph" w:styleId="TOC1">
    <w:name w:val="toc 1"/>
    <w:next w:val="Normal"/>
    <w:link w:val="TOC1Char"/>
    <w:autoRedefine/>
    <w:uiPriority w:val="39"/>
    <w:rsid w:val="00525E14"/>
    <w:pPr>
      <w:tabs>
        <w:tab w:val="left" w:pos="1000"/>
        <w:tab w:val="right" w:leader="dot" w:pos="9350"/>
      </w:tabs>
      <w:spacing w:before="120" w:after="120" w:line="276" w:lineRule="auto"/>
      <w:ind w:left="990" w:hanging="990"/>
    </w:pPr>
    <w:rPr>
      <w:rFonts w:eastAsia="Calibri" w:cs="Times New Roman"/>
      <w:b/>
      <w:bCs/>
      <w:sz w:val="20"/>
      <w:szCs w:val="20"/>
    </w:rPr>
  </w:style>
  <w:style w:type="character" w:customStyle="1" w:styleId="TOC1Char">
    <w:name w:val="TOC 1 Char"/>
    <w:link w:val="TOC1"/>
    <w:uiPriority w:val="39"/>
    <w:rsid w:val="00525E14"/>
    <w:rPr>
      <w:rFonts w:eastAsia="Calibri" w:cs="Times New Roman"/>
      <w:b/>
      <w:bCs/>
      <w:sz w:val="20"/>
      <w:szCs w:val="20"/>
    </w:rPr>
  </w:style>
  <w:style w:type="paragraph" w:styleId="Footer">
    <w:name w:val="footer"/>
    <w:basedOn w:val="Normal"/>
    <w:link w:val="FooterChar"/>
    <w:uiPriority w:val="99"/>
    <w:rsid w:val="00A25996"/>
    <w:pPr>
      <w:spacing w:after="0"/>
    </w:pPr>
    <w:rPr>
      <w:sz w:val="18"/>
    </w:rPr>
  </w:style>
  <w:style w:type="character" w:customStyle="1" w:styleId="FooterChar">
    <w:name w:val="Footer Char"/>
    <w:basedOn w:val="DefaultParagraphFont"/>
    <w:link w:val="Footer"/>
    <w:uiPriority w:val="99"/>
    <w:rsid w:val="00A25996"/>
    <w:rPr>
      <w:rFonts w:ascii="Arial" w:eastAsia="Calibri" w:hAnsi="Arial" w:cs="Times New Roman"/>
      <w:sz w:val="18"/>
    </w:rPr>
  </w:style>
  <w:style w:type="paragraph" w:styleId="Header">
    <w:name w:val="header"/>
    <w:basedOn w:val="Normal"/>
    <w:link w:val="HeaderChar"/>
    <w:rsid w:val="00A25996"/>
    <w:pPr>
      <w:pBdr>
        <w:bottom w:val="single" w:sz="6" w:space="1" w:color="auto"/>
      </w:pBdr>
      <w:tabs>
        <w:tab w:val="center" w:pos="4320"/>
        <w:tab w:val="right" w:pos="9360"/>
      </w:tabs>
      <w:spacing w:after="0"/>
    </w:pPr>
    <w:rPr>
      <w:rFonts w:eastAsia="Times New Roman"/>
    </w:rPr>
  </w:style>
  <w:style w:type="character" w:customStyle="1" w:styleId="HeaderChar">
    <w:name w:val="Header Char"/>
    <w:basedOn w:val="DefaultParagraphFont"/>
    <w:link w:val="Header"/>
    <w:rsid w:val="00A25996"/>
    <w:rPr>
      <w:rFonts w:ascii="Arial" w:eastAsia="Times New Roman" w:hAnsi="Arial" w:cs="Times New Roman"/>
      <w:sz w:val="20"/>
    </w:rPr>
  </w:style>
  <w:style w:type="character" w:styleId="Hyperlink">
    <w:name w:val="Hyperlink"/>
    <w:uiPriority w:val="99"/>
    <w:rsid w:val="00A25996"/>
    <w:rPr>
      <w:rFonts w:ascii="Futura Bk" w:hAnsi="Futura Bk"/>
      <w:color w:val="0000FF"/>
      <w:sz w:val="22"/>
      <w:u w:val="single"/>
    </w:rPr>
  </w:style>
  <w:style w:type="paragraph" w:styleId="Title">
    <w:name w:val="Title"/>
    <w:link w:val="TitleChar"/>
    <w:uiPriority w:val="10"/>
    <w:qFormat/>
    <w:rsid w:val="00A25996"/>
    <w:pPr>
      <w:spacing w:before="480" w:after="480" w:line="240" w:lineRule="auto"/>
    </w:pPr>
    <w:rPr>
      <w:rFonts w:ascii="Arial" w:eastAsia="Times New Roman" w:hAnsi="Arial" w:cs="Arial"/>
      <w:bCs/>
      <w:kern w:val="28"/>
      <w:sz w:val="48"/>
      <w:szCs w:val="28"/>
    </w:rPr>
  </w:style>
  <w:style w:type="character" w:customStyle="1" w:styleId="TitleChar">
    <w:name w:val="Title Char"/>
    <w:basedOn w:val="DefaultParagraphFont"/>
    <w:link w:val="Title"/>
    <w:uiPriority w:val="10"/>
    <w:rsid w:val="00A25996"/>
    <w:rPr>
      <w:rFonts w:ascii="Arial" w:eastAsia="Times New Roman" w:hAnsi="Arial" w:cs="Arial"/>
      <w:bCs/>
      <w:kern w:val="28"/>
      <w:sz w:val="48"/>
      <w:szCs w:val="28"/>
    </w:rPr>
  </w:style>
  <w:style w:type="paragraph" w:styleId="TOC2">
    <w:name w:val="toc 2"/>
    <w:basedOn w:val="Normal"/>
    <w:uiPriority w:val="39"/>
    <w:rsid w:val="00A25996"/>
    <w:pPr>
      <w:spacing w:after="0"/>
      <w:ind w:left="200"/>
    </w:pPr>
    <w:rPr>
      <w:rFonts w:asciiTheme="minorHAnsi" w:hAnsiTheme="minorHAnsi"/>
      <w:i/>
      <w:iCs/>
      <w:szCs w:val="20"/>
    </w:rPr>
  </w:style>
  <w:style w:type="character" w:styleId="PageNumber">
    <w:name w:val="page number"/>
    <w:basedOn w:val="DefaultParagraphFont"/>
    <w:semiHidden/>
    <w:rsid w:val="00A25996"/>
  </w:style>
  <w:style w:type="paragraph" w:customStyle="1" w:styleId="Figure">
    <w:name w:val="Figure"/>
    <w:basedOn w:val="Normal"/>
    <w:next w:val="FigureCaption"/>
    <w:qFormat/>
    <w:rsid w:val="00A25996"/>
    <w:pPr>
      <w:jc w:val="center"/>
    </w:pPr>
    <w:rPr>
      <w:rFonts w:eastAsia="Times New Roman"/>
    </w:rPr>
  </w:style>
  <w:style w:type="paragraph" w:customStyle="1" w:styleId="FigureCaption">
    <w:name w:val="Figure Caption"/>
    <w:basedOn w:val="Normal"/>
    <w:next w:val="Normal"/>
    <w:qFormat/>
    <w:rsid w:val="00A25996"/>
    <w:pPr>
      <w:keepNext/>
      <w:numPr>
        <w:numId w:val="4"/>
      </w:numPr>
      <w:tabs>
        <w:tab w:val="left" w:pos="1080"/>
        <w:tab w:val="left" w:pos="1440"/>
        <w:tab w:val="left" w:pos="1800"/>
        <w:tab w:val="left" w:pos="2160"/>
        <w:tab w:val="left" w:pos="2520"/>
        <w:tab w:val="left" w:pos="2880"/>
        <w:tab w:val="left" w:pos="3240"/>
        <w:tab w:val="left" w:pos="3600"/>
      </w:tabs>
      <w:ind w:hanging="720"/>
      <w:jc w:val="center"/>
    </w:pPr>
    <w:rPr>
      <w:rFonts w:eastAsia="Times New Roman" w:cs="Arial"/>
      <w:bCs/>
      <w:color w:val="000000"/>
      <w:szCs w:val="20"/>
    </w:rPr>
  </w:style>
  <w:style w:type="paragraph" w:styleId="TableofFigures">
    <w:name w:val="table of figures"/>
    <w:basedOn w:val="Normal"/>
    <w:link w:val="TableofFiguresChar"/>
    <w:uiPriority w:val="99"/>
    <w:rsid w:val="00A25996"/>
    <w:rPr>
      <w:rFonts w:eastAsia="Times New Roman"/>
    </w:rPr>
  </w:style>
  <w:style w:type="character" w:customStyle="1" w:styleId="TableofFiguresChar">
    <w:name w:val="Table of Figures Char"/>
    <w:link w:val="TableofFigures"/>
    <w:uiPriority w:val="99"/>
    <w:rsid w:val="00A25996"/>
    <w:rPr>
      <w:rFonts w:ascii="Arial" w:eastAsia="Times New Roman" w:hAnsi="Arial" w:cs="Times New Roman"/>
      <w:sz w:val="20"/>
    </w:rPr>
  </w:style>
  <w:style w:type="paragraph" w:styleId="CommentText">
    <w:name w:val="annotation text"/>
    <w:basedOn w:val="Normal"/>
    <w:link w:val="CommentTextChar"/>
    <w:rsid w:val="00A25996"/>
    <w:pPr>
      <w:spacing w:after="0"/>
    </w:pPr>
    <w:rPr>
      <w:szCs w:val="20"/>
    </w:rPr>
  </w:style>
  <w:style w:type="character" w:customStyle="1" w:styleId="CommentTextChar">
    <w:name w:val="Comment Text Char"/>
    <w:basedOn w:val="DefaultParagraphFont"/>
    <w:link w:val="CommentText"/>
    <w:rsid w:val="00A25996"/>
    <w:rPr>
      <w:rFonts w:ascii="Arial" w:eastAsia="Calibri" w:hAnsi="Arial" w:cs="Times New Roman"/>
      <w:sz w:val="20"/>
      <w:szCs w:val="20"/>
    </w:rPr>
  </w:style>
  <w:style w:type="character" w:styleId="CommentReference">
    <w:name w:val="annotation reference"/>
    <w:rsid w:val="00A25996"/>
    <w:rPr>
      <w:sz w:val="16"/>
      <w:szCs w:val="16"/>
    </w:rPr>
  </w:style>
  <w:style w:type="paragraph" w:styleId="ListBullet4">
    <w:name w:val="List Bullet 4"/>
    <w:basedOn w:val="Normal"/>
    <w:semiHidden/>
    <w:rsid w:val="00A25996"/>
    <w:pPr>
      <w:numPr>
        <w:numId w:val="1"/>
      </w:numPr>
      <w:spacing w:after="0"/>
    </w:pPr>
    <w:rPr>
      <w:sz w:val="24"/>
      <w:szCs w:val="24"/>
    </w:rPr>
  </w:style>
  <w:style w:type="paragraph" w:styleId="BodyText">
    <w:name w:val="Body Text"/>
    <w:basedOn w:val="Normal"/>
    <w:link w:val="BodyTextChar"/>
    <w:semiHidden/>
    <w:rsid w:val="00A25996"/>
    <w:rPr>
      <w:sz w:val="24"/>
      <w:szCs w:val="24"/>
    </w:rPr>
  </w:style>
  <w:style w:type="character" w:customStyle="1" w:styleId="BodyTextChar">
    <w:name w:val="Body Text Char"/>
    <w:basedOn w:val="DefaultParagraphFont"/>
    <w:link w:val="BodyText"/>
    <w:semiHidden/>
    <w:rsid w:val="00A25996"/>
    <w:rPr>
      <w:rFonts w:ascii="Arial" w:eastAsia="Calibri" w:hAnsi="Arial" w:cs="Times New Roman"/>
      <w:sz w:val="24"/>
      <w:szCs w:val="24"/>
    </w:rPr>
  </w:style>
  <w:style w:type="paragraph" w:styleId="BalloonText">
    <w:name w:val="Balloon Text"/>
    <w:basedOn w:val="Normal"/>
    <w:link w:val="BalloonTextChar"/>
    <w:uiPriority w:val="99"/>
    <w:semiHidden/>
    <w:unhideWhenUsed/>
    <w:rsid w:val="00A259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99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A25996"/>
    <w:pPr>
      <w:spacing w:after="120"/>
      <w:ind w:left="360"/>
    </w:pPr>
    <w:rPr>
      <w:b/>
      <w:bCs/>
    </w:rPr>
  </w:style>
  <w:style w:type="character" w:customStyle="1" w:styleId="CommentSubjectChar">
    <w:name w:val="Comment Subject Char"/>
    <w:basedOn w:val="CommentTextChar"/>
    <w:link w:val="CommentSubject"/>
    <w:uiPriority w:val="99"/>
    <w:semiHidden/>
    <w:rsid w:val="00A25996"/>
    <w:rPr>
      <w:rFonts w:ascii="Arial" w:eastAsia="Calibri" w:hAnsi="Arial" w:cs="Times New Roman"/>
      <w:b/>
      <w:bCs/>
      <w:sz w:val="20"/>
      <w:szCs w:val="20"/>
    </w:rPr>
  </w:style>
  <w:style w:type="paragraph" w:styleId="TOC3">
    <w:name w:val="toc 3"/>
    <w:basedOn w:val="Normal"/>
    <w:next w:val="Normal"/>
    <w:autoRedefine/>
    <w:uiPriority w:val="39"/>
    <w:unhideWhenUsed/>
    <w:rsid w:val="00367E6A"/>
    <w:pPr>
      <w:tabs>
        <w:tab w:val="right" w:leader="dot" w:pos="9350"/>
      </w:tabs>
      <w:spacing w:before="0" w:after="0"/>
      <w:ind w:left="990" w:hanging="587"/>
    </w:pPr>
    <w:rPr>
      <w:rFonts w:asciiTheme="minorHAnsi" w:hAnsiTheme="minorHAnsi"/>
      <w:szCs w:val="20"/>
    </w:rPr>
  </w:style>
  <w:style w:type="paragraph" w:styleId="TOC4">
    <w:name w:val="toc 4"/>
    <w:basedOn w:val="Normal"/>
    <w:next w:val="Normal"/>
    <w:autoRedefine/>
    <w:uiPriority w:val="39"/>
    <w:unhideWhenUsed/>
    <w:rsid w:val="00367E6A"/>
    <w:pPr>
      <w:tabs>
        <w:tab w:val="right" w:leader="dot" w:pos="9350"/>
      </w:tabs>
      <w:spacing w:before="0" w:after="0"/>
      <w:ind w:left="1195" w:hanging="590"/>
    </w:pPr>
    <w:rPr>
      <w:rFonts w:asciiTheme="minorHAnsi" w:hAnsiTheme="minorHAnsi"/>
      <w:szCs w:val="20"/>
    </w:rPr>
  </w:style>
  <w:style w:type="paragraph" w:styleId="TOCHeading">
    <w:name w:val="TOC Heading"/>
    <w:basedOn w:val="Normal"/>
    <w:next w:val="Normal"/>
    <w:uiPriority w:val="39"/>
    <w:unhideWhenUsed/>
    <w:qFormat/>
    <w:rsid w:val="00A25996"/>
    <w:pPr>
      <w:keepNext/>
      <w:spacing w:before="240"/>
    </w:pPr>
    <w:rPr>
      <w:rFonts w:eastAsia="Times New Roman" w:cs="Arial"/>
      <w:bCs/>
      <w:kern w:val="28"/>
      <w:sz w:val="28"/>
      <w:szCs w:val="28"/>
    </w:rPr>
  </w:style>
  <w:style w:type="paragraph" w:customStyle="1" w:styleId="TableHeading">
    <w:name w:val="TableHeading"/>
    <w:basedOn w:val="Normal"/>
    <w:next w:val="TableText"/>
    <w:qFormat/>
    <w:rsid w:val="00A25996"/>
    <w:pPr>
      <w:keepNext/>
      <w:spacing w:before="40" w:after="40"/>
      <w:jc w:val="center"/>
    </w:pPr>
    <w:rPr>
      <w:rFonts w:eastAsia="Times New Roman"/>
      <w:bCs/>
      <w:snapToGrid w:val="0"/>
    </w:rPr>
  </w:style>
  <w:style w:type="paragraph" w:customStyle="1" w:styleId="TableText">
    <w:name w:val="TableText"/>
    <w:basedOn w:val="Normal"/>
    <w:autoRedefine/>
    <w:qFormat/>
    <w:rsid w:val="00DB29A6"/>
    <w:pPr>
      <w:spacing w:line="360" w:lineRule="auto"/>
    </w:pPr>
    <w:rPr>
      <w:rFonts w:eastAsia="Times New Roman"/>
    </w:rPr>
  </w:style>
  <w:style w:type="paragraph" w:customStyle="1" w:styleId="Default">
    <w:name w:val="Default"/>
    <w:rsid w:val="00A25996"/>
    <w:pPr>
      <w:autoSpaceDE w:val="0"/>
      <w:autoSpaceDN w:val="0"/>
      <w:adjustRightInd w:val="0"/>
      <w:spacing w:after="120" w:line="240" w:lineRule="auto"/>
    </w:pPr>
    <w:rPr>
      <w:rFonts w:ascii="Futura Bk" w:eastAsia="Calibri" w:hAnsi="Futura Bk" w:cs="Arial"/>
      <w:color w:val="000000"/>
      <w:szCs w:val="24"/>
    </w:rPr>
  </w:style>
  <w:style w:type="paragraph" w:styleId="NormalWeb">
    <w:name w:val="Normal (Web)"/>
    <w:basedOn w:val="Normal"/>
    <w:uiPriority w:val="99"/>
    <w:semiHidden/>
    <w:unhideWhenUsed/>
    <w:rsid w:val="00A25996"/>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A25996"/>
    <w:pPr>
      <w:numPr>
        <w:ilvl w:val="1"/>
      </w:numPr>
      <w:spacing w:after="160"/>
    </w:pPr>
    <w:rPr>
      <w:rFonts w:eastAsia="Times New Roman"/>
      <w:spacing w:val="15"/>
    </w:rPr>
  </w:style>
  <w:style w:type="character" w:customStyle="1" w:styleId="SubtitleChar">
    <w:name w:val="Subtitle Char"/>
    <w:basedOn w:val="DefaultParagraphFont"/>
    <w:link w:val="Subtitle"/>
    <w:uiPriority w:val="11"/>
    <w:rsid w:val="00A25996"/>
    <w:rPr>
      <w:rFonts w:ascii="Arial" w:eastAsia="Times New Roman" w:hAnsi="Arial" w:cs="Times New Roman"/>
      <w:spacing w:val="15"/>
      <w:sz w:val="20"/>
    </w:rPr>
  </w:style>
  <w:style w:type="character" w:styleId="IntenseEmphasis">
    <w:name w:val="Intense Emphasis"/>
    <w:uiPriority w:val="21"/>
    <w:rsid w:val="00A25996"/>
    <w:rPr>
      <w:rFonts w:ascii="Futura Bk" w:hAnsi="Futura Bk"/>
      <w:i/>
      <w:iCs/>
      <w:color w:val="5B9BD5"/>
    </w:rPr>
  </w:style>
  <w:style w:type="character" w:styleId="Strong">
    <w:name w:val="Strong"/>
    <w:uiPriority w:val="22"/>
    <w:rsid w:val="00A25996"/>
    <w:rPr>
      <w:rFonts w:ascii="Futura Bk" w:hAnsi="Futura Bk"/>
      <w:b/>
      <w:bCs/>
    </w:rPr>
  </w:style>
  <w:style w:type="paragraph" w:styleId="IntenseQuote">
    <w:name w:val="Intense Quote"/>
    <w:basedOn w:val="Normal"/>
    <w:next w:val="Normal"/>
    <w:link w:val="IntenseQuoteChar"/>
    <w:uiPriority w:val="30"/>
    <w:rsid w:val="00A25996"/>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A25996"/>
    <w:rPr>
      <w:rFonts w:ascii="Arial" w:eastAsia="Calibri" w:hAnsi="Arial" w:cs="Times New Roman"/>
      <w:i/>
      <w:iCs/>
      <w:color w:val="5B9BD5"/>
      <w:sz w:val="20"/>
    </w:rPr>
  </w:style>
  <w:style w:type="character" w:styleId="SubtleReference">
    <w:name w:val="Subtle Reference"/>
    <w:uiPriority w:val="31"/>
    <w:rsid w:val="00A25996"/>
    <w:rPr>
      <w:rFonts w:ascii="Futura Bk" w:hAnsi="Futura Bk"/>
      <w:smallCaps/>
      <w:color w:val="5A5A5A"/>
    </w:rPr>
  </w:style>
  <w:style w:type="character" w:styleId="IntenseReference">
    <w:name w:val="Intense Reference"/>
    <w:uiPriority w:val="32"/>
    <w:rsid w:val="00A25996"/>
    <w:rPr>
      <w:rFonts w:ascii="Futura Bk" w:hAnsi="Futura Bk"/>
      <w:b/>
      <w:bCs/>
      <w:smallCaps/>
      <w:color w:val="5B9BD5"/>
      <w:spacing w:val="5"/>
    </w:rPr>
  </w:style>
  <w:style w:type="paragraph" w:customStyle="1" w:styleId="TableCaption">
    <w:name w:val="Table Caption"/>
    <w:basedOn w:val="Normal"/>
    <w:next w:val="Normal"/>
    <w:qFormat/>
    <w:rsid w:val="00A25996"/>
    <w:pPr>
      <w:keepNext/>
      <w:numPr>
        <w:numId w:val="3"/>
      </w:numPr>
      <w:tabs>
        <w:tab w:val="left" w:pos="1080"/>
        <w:tab w:val="left" w:pos="1440"/>
        <w:tab w:val="left" w:pos="1800"/>
        <w:tab w:val="left" w:pos="2160"/>
        <w:tab w:val="left" w:pos="2520"/>
        <w:tab w:val="left" w:pos="2880"/>
        <w:tab w:val="left" w:pos="3240"/>
        <w:tab w:val="left" w:pos="3600"/>
      </w:tabs>
      <w:ind w:left="1080" w:hanging="1080"/>
      <w:jc w:val="center"/>
    </w:pPr>
    <w:rPr>
      <w:rFonts w:eastAsia="Times New Roman" w:cs="Arial"/>
      <w:bCs/>
      <w:color w:val="000000"/>
      <w:szCs w:val="20"/>
    </w:rPr>
  </w:style>
  <w:style w:type="paragraph" w:customStyle="1" w:styleId="TOC">
    <w:name w:val="TOC"/>
    <w:basedOn w:val="TOC1"/>
    <w:link w:val="TOCChar"/>
    <w:rsid w:val="00A25996"/>
  </w:style>
  <w:style w:type="character" w:customStyle="1" w:styleId="TOCChar">
    <w:name w:val="TOC Char"/>
    <w:link w:val="TOC"/>
    <w:rsid w:val="00A25996"/>
    <w:rPr>
      <w:rFonts w:eastAsia="Calibri" w:cs="Times New Roman"/>
      <w:b/>
      <w:bCs/>
      <w:sz w:val="20"/>
      <w:szCs w:val="20"/>
    </w:rPr>
  </w:style>
  <w:style w:type="paragraph" w:customStyle="1" w:styleId="AppdxHdg">
    <w:name w:val="Appdx Hdg"/>
    <w:basedOn w:val="Heading1"/>
    <w:next w:val="Normal"/>
    <w:link w:val="AppdxHdgChar"/>
    <w:qFormat/>
    <w:rsid w:val="00A25996"/>
    <w:pPr>
      <w:numPr>
        <w:numId w:val="5"/>
      </w:numPr>
      <w:tabs>
        <w:tab w:val="clear" w:pos="720"/>
        <w:tab w:val="left" w:pos="2160"/>
      </w:tabs>
      <w:ind w:left="2160" w:hanging="2160"/>
      <w:jc w:val="both"/>
    </w:pPr>
    <w:rPr>
      <w:szCs w:val="24"/>
    </w:rPr>
  </w:style>
  <w:style w:type="character" w:customStyle="1" w:styleId="AppdxHdgChar">
    <w:name w:val="Appdx Hdg Char"/>
    <w:link w:val="AppdxHdg"/>
    <w:rsid w:val="00A25996"/>
    <w:rPr>
      <w:rFonts w:ascii="Arial" w:eastAsia="Calibri" w:hAnsi="Arial" w:cs="Times New Roman"/>
      <w:b/>
      <w:color w:val="002960"/>
      <w:sz w:val="28"/>
      <w:szCs w:val="24"/>
    </w:rPr>
  </w:style>
  <w:style w:type="paragraph" w:customStyle="1" w:styleId="AppdxHdg2">
    <w:name w:val="Appdx Hdg2"/>
    <w:basedOn w:val="AppdxHdg"/>
    <w:next w:val="Normal"/>
    <w:link w:val="AppdxHdg2Char"/>
    <w:qFormat/>
    <w:rsid w:val="00A25996"/>
    <w:pPr>
      <w:pageBreakBefore w:val="0"/>
      <w:numPr>
        <w:ilvl w:val="1"/>
      </w:numPr>
      <w:tabs>
        <w:tab w:val="clear" w:pos="2160"/>
      </w:tabs>
      <w:spacing w:before="120"/>
    </w:pPr>
    <w:rPr>
      <w:sz w:val="26"/>
    </w:rPr>
  </w:style>
  <w:style w:type="character" w:customStyle="1" w:styleId="AppdxHdg2Char">
    <w:name w:val="Appdx Hdg2 Char"/>
    <w:link w:val="AppdxHdg2"/>
    <w:rsid w:val="00A25996"/>
    <w:rPr>
      <w:rFonts w:ascii="Arial" w:eastAsia="Calibri" w:hAnsi="Arial" w:cs="Times New Roman"/>
      <w:b/>
      <w:color w:val="002960"/>
      <w:sz w:val="26"/>
      <w:szCs w:val="24"/>
    </w:rPr>
  </w:style>
  <w:style w:type="paragraph" w:customStyle="1" w:styleId="AppdxHdg3">
    <w:name w:val="Appdx Hdg3"/>
    <w:basedOn w:val="AppdxHdg2"/>
    <w:next w:val="Normal"/>
    <w:link w:val="AppdxHdg3Char"/>
    <w:qFormat/>
    <w:rsid w:val="00A25996"/>
    <w:pPr>
      <w:numPr>
        <w:ilvl w:val="2"/>
      </w:numPr>
    </w:pPr>
    <w:rPr>
      <w:sz w:val="24"/>
    </w:rPr>
  </w:style>
  <w:style w:type="character" w:customStyle="1" w:styleId="AppdxHdg3Char">
    <w:name w:val="Appdx Hdg3 Char"/>
    <w:link w:val="AppdxHdg3"/>
    <w:rsid w:val="00A25996"/>
    <w:rPr>
      <w:rFonts w:ascii="Arial" w:eastAsia="Calibri" w:hAnsi="Arial" w:cs="Times New Roman"/>
      <w:b/>
      <w:color w:val="002960"/>
      <w:sz w:val="24"/>
      <w:szCs w:val="24"/>
    </w:rPr>
  </w:style>
  <w:style w:type="paragraph" w:customStyle="1" w:styleId="Filename">
    <w:name w:val="File name"/>
    <w:basedOn w:val="Normal"/>
    <w:uiPriority w:val="1"/>
    <w:qFormat/>
    <w:rsid w:val="00A25996"/>
    <w:pPr>
      <w:widowControl w:val="0"/>
      <w:spacing w:line="275" w:lineRule="exact"/>
      <w:ind w:left="140"/>
    </w:pPr>
    <w:rPr>
      <w:spacing w:val="4"/>
      <w:sz w:val="24"/>
    </w:rPr>
  </w:style>
  <w:style w:type="paragraph" w:customStyle="1" w:styleId="AccountName">
    <w:name w:val="Account Name"/>
    <w:basedOn w:val="Normal"/>
    <w:uiPriority w:val="1"/>
    <w:qFormat/>
    <w:rsid w:val="00A25996"/>
    <w:pPr>
      <w:widowControl w:val="0"/>
      <w:spacing w:before="19" w:line="600" w:lineRule="exact"/>
    </w:pPr>
    <w:rPr>
      <w:spacing w:val="1"/>
      <w:sz w:val="48"/>
    </w:rPr>
  </w:style>
  <w:style w:type="paragraph" w:customStyle="1" w:styleId="ProjectName">
    <w:name w:val="Project Name"/>
    <w:basedOn w:val="Normal"/>
    <w:uiPriority w:val="1"/>
    <w:qFormat/>
    <w:rsid w:val="00A25996"/>
    <w:pPr>
      <w:widowControl w:val="0"/>
      <w:spacing w:before="19" w:line="600" w:lineRule="exact"/>
    </w:pPr>
    <w:rPr>
      <w:spacing w:val="1"/>
      <w:sz w:val="48"/>
    </w:rPr>
  </w:style>
  <w:style w:type="paragraph" w:customStyle="1" w:styleId="Version">
    <w:name w:val="Version"/>
    <w:basedOn w:val="Normal"/>
    <w:uiPriority w:val="1"/>
    <w:qFormat/>
    <w:rsid w:val="00A25996"/>
    <w:pPr>
      <w:widowControl w:val="0"/>
    </w:pPr>
    <w:rPr>
      <w:rFonts w:eastAsia="HP Simplified" w:cs="HP Simplified"/>
      <w:sz w:val="24"/>
      <w:szCs w:val="24"/>
    </w:rPr>
  </w:style>
  <w:style w:type="paragraph" w:customStyle="1" w:styleId="Heading0">
    <w:name w:val="Heading 0"/>
    <w:basedOn w:val="Normal"/>
    <w:next w:val="Normal"/>
    <w:qFormat/>
    <w:rsid w:val="00A25996"/>
    <w:pPr>
      <w:keepNext/>
    </w:pPr>
    <w:rPr>
      <w:sz w:val="28"/>
      <w:szCs w:val="28"/>
    </w:rPr>
  </w:style>
  <w:style w:type="table" w:styleId="TableGrid">
    <w:name w:val="Table Grid"/>
    <w:basedOn w:val="TableNormal"/>
    <w:uiPriority w:val="39"/>
    <w:rsid w:val="00A25996"/>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ered">
    <w:name w:val="TableTextCentered"/>
    <w:basedOn w:val="TableText"/>
    <w:qFormat/>
    <w:rsid w:val="00A25996"/>
    <w:pPr>
      <w:jc w:val="center"/>
    </w:pPr>
  </w:style>
  <w:style w:type="paragraph" w:customStyle="1" w:styleId="TemplateInstructions">
    <w:name w:val="TemplateInstructions"/>
    <w:basedOn w:val="Normal"/>
    <w:qFormat/>
    <w:rsid w:val="00A25996"/>
    <w:rPr>
      <w:i/>
    </w:rPr>
  </w:style>
  <w:style w:type="paragraph" w:styleId="NoSpacing">
    <w:name w:val="No Spacing"/>
    <w:basedOn w:val="Normal"/>
    <w:link w:val="NoSpacingChar"/>
    <w:uiPriority w:val="1"/>
    <w:qFormat/>
    <w:rsid w:val="00A25996"/>
    <w:pPr>
      <w:spacing w:after="0"/>
    </w:pPr>
  </w:style>
  <w:style w:type="character" w:customStyle="1" w:styleId="NoSpacingChar">
    <w:name w:val="No Spacing Char"/>
    <w:basedOn w:val="DefaultParagraphFont"/>
    <w:link w:val="NoSpacing"/>
    <w:uiPriority w:val="1"/>
    <w:rsid w:val="00A25996"/>
    <w:rPr>
      <w:rFonts w:ascii="Arial" w:eastAsia="Calibri" w:hAnsi="Arial" w:cs="Times New Roman"/>
      <w:sz w:val="20"/>
    </w:rPr>
  </w:style>
  <w:style w:type="paragraph" w:styleId="ListParagraph">
    <w:name w:val="List Paragraph"/>
    <w:basedOn w:val="Normal"/>
    <w:autoRedefine/>
    <w:uiPriority w:val="34"/>
    <w:qFormat/>
    <w:rsid w:val="00425466"/>
    <w:pPr>
      <w:numPr>
        <w:numId w:val="37"/>
      </w:numPr>
    </w:pPr>
    <w:rPr>
      <w:szCs w:val="20"/>
      <w:lang w:eastAsia="ja-JP"/>
    </w:rPr>
  </w:style>
  <w:style w:type="paragraph" w:customStyle="1" w:styleId="FirstRow">
    <w:name w:val="FirstRow"/>
    <w:basedOn w:val="Heading2"/>
    <w:rsid w:val="00A25996"/>
    <w:rPr>
      <w:noProof/>
    </w:rPr>
  </w:style>
  <w:style w:type="table" w:customStyle="1" w:styleId="TableGrid1">
    <w:name w:val="Table Grid1"/>
    <w:basedOn w:val="TableNormal"/>
    <w:next w:val="TableGrid"/>
    <w:uiPriority w:val="59"/>
    <w:rsid w:val="00A25996"/>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A25996"/>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A25996"/>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A25996"/>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A25996"/>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A25996"/>
    <w:pPr>
      <w:spacing w:before="0" w:after="0"/>
      <w:ind w:left="1600"/>
    </w:pPr>
    <w:rPr>
      <w:rFonts w:asciiTheme="minorHAnsi" w:hAnsiTheme="minorHAnsi"/>
      <w:szCs w:val="20"/>
    </w:rPr>
  </w:style>
  <w:style w:type="paragraph" w:styleId="Revision">
    <w:name w:val="Revision"/>
    <w:hidden/>
    <w:uiPriority w:val="99"/>
    <w:semiHidden/>
    <w:rsid w:val="00A25996"/>
    <w:pPr>
      <w:spacing w:after="0" w:line="240" w:lineRule="auto"/>
    </w:pPr>
    <w:rPr>
      <w:rFonts w:ascii="Futura Bk" w:eastAsia="Calibri" w:hAnsi="Futura Bk" w:cs="Times New Roman"/>
    </w:rPr>
  </w:style>
  <w:style w:type="character" w:styleId="PlaceholderText">
    <w:name w:val="Placeholder Text"/>
    <w:basedOn w:val="DefaultParagraphFont"/>
    <w:uiPriority w:val="99"/>
    <w:semiHidden/>
    <w:rsid w:val="00A25996"/>
    <w:rPr>
      <w:color w:val="808080"/>
    </w:rPr>
  </w:style>
  <w:style w:type="paragraph" w:styleId="FootnoteText">
    <w:name w:val="footnote text"/>
    <w:basedOn w:val="Normal"/>
    <w:link w:val="FootnoteTextChar"/>
    <w:uiPriority w:val="99"/>
    <w:semiHidden/>
    <w:unhideWhenUsed/>
    <w:rsid w:val="00A25996"/>
    <w:pPr>
      <w:spacing w:before="0" w:after="0"/>
    </w:pPr>
    <w:rPr>
      <w:szCs w:val="20"/>
    </w:rPr>
  </w:style>
  <w:style w:type="character" w:customStyle="1" w:styleId="FootnoteTextChar">
    <w:name w:val="Footnote Text Char"/>
    <w:basedOn w:val="DefaultParagraphFont"/>
    <w:link w:val="FootnoteText"/>
    <w:uiPriority w:val="99"/>
    <w:semiHidden/>
    <w:rsid w:val="00A25996"/>
    <w:rPr>
      <w:rFonts w:ascii="Arial" w:eastAsia="Calibri" w:hAnsi="Arial" w:cs="Times New Roman"/>
      <w:sz w:val="20"/>
      <w:szCs w:val="20"/>
    </w:rPr>
  </w:style>
  <w:style w:type="character" w:styleId="FootnoteReference">
    <w:name w:val="footnote reference"/>
    <w:basedOn w:val="DefaultParagraphFont"/>
    <w:uiPriority w:val="99"/>
    <w:unhideWhenUsed/>
    <w:rsid w:val="00A25996"/>
    <w:rPr>
      <w:vertAlign w:val="superscript"/>
    </w:rPr>
  </w:style>
  <w:style w:type="table" w:customStyle="1" w:styleId="TableGrid2">
    <w:name w:val="Table Grid2"/>
    <w:basedOn w:val="TableNormal"/>
    <w:next w:val="TableGrid"/>
    <w:uiPriority w:val="39"/>
    <w:rsid w:val="00A25996"/>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25996"/>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5996"/>
    <w:rPr>
      <w:color w:val="954F72" w:themeColor="followedHyperlink"/>
      <w:u w:val="single"/>
    </w:rPr>
  </w:style>
  <w:style w:type="character" w:customStyle="1" w:styleId="UnresolvedMention1">
    <w:name w:val="Unresolved Mention1"/>
    <w:basedOn w:val="DefaultParagraphFont"/>
    <w:uiPriority w:val="99"/>
    <w:semiHidden/>
    <w:unhideWhenUsed/>
    <w:rsid w:val="007514F0"/>
    <w:rPr>
      <w:color w:val="605E5C"/>
      <w:shd w:val="clear" w:color="auto" w:fill="E1DFDD"/>
    </w:rPr>
  </w:style>
  <w:style w:type="character" w:customStyle="1" w:styleId="UnresolvedMention2">
    <w:name w:val="Unresolved Mention2"/>
    <w:basedOn w:val="DefaultParagraphFont"/>
    <w:uiPriority w:val="99"/>
    <w:semiHidden/>
    <w:unhideWhenUsed/>
    <w:rsid w:val="00B55506"/>
    <w:rPr>
      <w:color w:val="605E5C"/>
      <w:shd w:val="clear" w:color="auto" w:fill="E1DFDD"/>
    </w:rPr>
  </w:style>
  <w:style w:type="table" w:styleId="GridTable4-Accent5">
    <w:name w:val="Grid Table 4 Accent 5"/>
    <w:basedOn w:val="TableNormal"/>
    <w:uiPriority w:val="49"/>
    <w:rsid w:val="0081677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3">
    <w:name w:val="Grid Table 1 Light Accent 3"/>
    <w:basedOn w:val="TableNormal"/>
    <w:uiPriority w:val="46"/>
    <w:rsid w:val="00A544A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4">
    <w:name w:val="Plain Table 4"/>
    <w:basedOn w:val="TableNormal"/>
    <w:uiPriority w:val="44"/>
    <w:rsid w:val="00A544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544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A544A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F109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15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83769">
      <w:bodyDiv w:val="1"/>
      <w:marLeft w:val="0"/>
      <w:marRight w:val="0"/>
      <w:marTop w:val="0"/>
      <w:marBottom w:val="0"/>
      <w:divBdr>
        <w:top w:val="none" w:sz="0" w:space="0" w:color="auto"/>
        <w:left w:val="none" w:sz="0" w:space="0" w:color="auto"/>
        <w:bottom w:val="none" w:sz="0" w:space="0" w:color="auto"/>
        <w:right w:val="none" w:sz="0" w:space="0" w:color="auto"/>
      </w:divBdr>
    </w:div>
    <w:div w:id="1005980742">
      <w:bodyDiv w:val="1"/>
      <w:marLeft w:val="0"/>
      <w:marRight w:val="0"/>
      <w:marTop w:val="0"/>
      <w:marBottom w:val="0"/>
      <w:divBdr>
        <w:top w:val="none" w:sz="0" w:space="0" w:color="auto"/>
        <w:left w:val="none" w:sz="0" w:space="0" w:color="auto"/>
        <w:bottom w:val="none" w:sz="0" w:space="0" w:color="auto"/>
        <w:right w:val="none" w:sz="0" w:space="0" w:color="auto"/>
      </w:divBdr>
    </w:div>
    <w:div w:id="1059279233">
      <w:bodyDiv w:val="1"/>
      <w:marLeft w:val="0"/>
      <w:marRight w:val="0"/>
      <w:marTop w:val="0"/>
      <w:marBottom w:val="0"/>
      <w:divBdr>
        <w:top w:val="none" w:sz="0" w:space="0" w:color="auto"/>
        <w:left w:val="none" w:sz="0" w:space="0" w:color="auto"/>
        <w:bottom w:val="none" w:sz="0" w:space="0" w:color="auto"/>
        <w:right w:val="none" w:sz="0" w:space="0" w:color="auto"/>
      </w:divBdr>
    </w:div>
    <w:div w:id="1409965220">
      <w:bodyDiv w:val="1"/>
      <w:marLeft w:val="0"/>
      <w:marRight w:val="0"/>
      <w:marTop w:val="0"/>
      <w:marBottom w:val="0"/>
      <w:divBdr>
        <w:top w:val="none" w:sz="0" w:space="0" w:color="auto"/>
        <w:left w:val="none" w:sz="0" w:space="0" w:color="auto"/>
        <w:bottom w:val="none" w:sz="0" w:space="0" w:color="auto"/>
        <w:right w:val="none" w:sz="0" w:space="0" w:color="auto"/>
      </w:divBdr>
    </w:div>
    <w:div w:id="1440375598">
      <w:bodyDiv w:val="1"/>
      <w:marLeft w:val="0"/>
      <w:marRight w:val="0"/>
      <w:marTop w:val="0"/>
      <w:marBottom w:val="0"/>
      <w:divBdr>
        <w:top w:val="none" w:sz="0" w:space="0" w:color="auto"/>
        <w:left w:val="none" w:sz="0" w:space="0" w:color="auto"/>
        <w:bottom w:val="none" w:sz="0" w:space="0" w:color="auto"/>
        <w:right w:val="none" w:sz="0" w:space="0" w:color="auto"/>
      </w:divBdr>
    </w:div>
    <w:div w:id="1489057823">
      <w:bodyDiv w:val="1"/>
      <w:marLeft w:val="0"/>
      <w:marRight w:val="0"/>
      <w:marTop w:val="0"/>
      <w:marBottom w:val="0"/>
      <w:divBdr>
        <w:top w:val="none" w:sz="0" w:space="0" w:color="auto"/>
        <w:left w:val="none" w:sz="0" w:space="0" w:color="auto"/>
        <w:bottom w:val="none" w:sz="0" w:space="0" w:color="auto"/>
        <w:right w:val="none" w:sz="0" w:space="0" w:color="auto"/>
      </w:divBdr>
    </w:div>
    <w:div w:id="1695574745">
      <w:bodyDiv w:val="1"/>
      <w:marLeft w:val="0"/>
      <w:marRight w:val="0"/>
      <w:marTop w:val="0"/>
      <w:marBottom w:val="0"/>
      <w:divBdr>
        <w:top w:val="none" w:sz="0" w:space="0" w:color="auto"/>
        <w:left w:val="none" w:sz="0" w:space="0" w:color="auto"/>
        <w:bottom w:val="none" w:sz="0" w:space="0" w:color="auto"/>
        <w:right w:val="none" w:sz="0" w:space="0" w:color="auto"/>
      </w:divBdr>
    </w:div>
    <w:div w:id="1948539619">
      <w:bodyDiv w:val="1"/>
      <w:marLeft w:val="0"/>
      <w:marRight w:val="0"/>
      <w:marTop w:val="0"/>
      <w:marBottom w:val="0"/>
      <w:divBdr>
        <w:top w:val="none" w:sz="0" w:space="0" w:color="auto"/>
        <w:left w:val="none" w:sz="0" w:space="0" w:color="auto"/>
        <w:bottom w:val="none" w:sz="0" w:space="0" w:color="auto"/>
        <w:right w:val="none" w:sz="0" w:space="0" w:color="auto"/>
      </w:divBdr>
    </w:div>
    <w:div w:id="20262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acg.jhsph.org" TargetMode="Externa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9.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h1ccp.com/util/forms/Third_Next_Available_Appt_RG-fillabl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umanservices.arkansas.gov/divisions-shared-services/medical-services/helpful-information-for-providers/patient-centered-medical-home/" TargetMode="External"/><Relationship Id="rId32" Type="http://schemas.openxmlformats.org/officeDocument/2006/relationships/hyperlink" Target="https://www.cms.gov/Medicare/Quality-Initiatives-Patient-Assessment-Instruments/QualityInitiativesGenInfo/Downloads/Person-and-Family-Engagement-Strategy-Summary.pdf" TargetMode="Externa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2.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yperlink" Target="https://humanservices.arkansas.gov/divisions-shared-services/medical-services/helpful-information-for-providers/patient-centered-medical-home/" TargetMode="External"/><Relationship Id="rId31" Type="http://schemas.openxmlformats.org/officeDocument/2006/relationships/hyperlink" Target="https://humanservices.arkansas.gov/about-dhs/dms/apii/pcmh/pcmh_resources" TargetMode="External"/><Relationship Id="rId44"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www.ihi.org/resources/Pages/Measures/ThirdNextAvailableAppointment.aspx" TargetMode="External"/><Relationship Id="rId35" Type="http://schemas.openxmlformats.org/officeDocument/2006/relationships/header" Target="header13.xml"/><Relationship Id="rId43" Type="http://schemas.openxmlformats.org/officeDocument/2006/relationships/header" Target="header20.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5.xml"/><Relationship Id="rId46" Type="http://schemas.openxmlformats.org/officeDocument/2006/relationships/header" Target="header23.xml"/><Relationship Id="rId20" Type="http://schemas.openxmlformats.org/officeDocument/2006/relationships/header" Target="header5.xml"/><Relationship Id="rId41" Type="http://schemas.openxmlformats.org/officeDocument/2006/relationships/header" Target="header18.xml"/></Relationships>
</file>

<file path=word/_rels/footnotes.xml.rels><?xml version="1.0" encoding="UTF-8" standalone="yes"?>
<Relationships xmlns="http://schemas.openxmlformats.org/package/2006/relationships"><Relationship Id="rId1" Type="http://schemas.openxmlformats.org/officeDocument/2006/relationships/hyperlink" Target="https://www.ncqa.org/hedis/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A2638B76ABB445ABA131A4EE3B3C5C" ma:contentTypeVersion="2" ma:contentTypeDescription="Create a new document." ma:contentTypeScope="" ma:versionID="7661bb9a49a915627effbc95c2963657">
  <xsd:schema xmlns:xsd="http://www.w3.org/2001/XMLSchema" xmlns:xs="http://www.w3.org/2001/XMLSchema" xmlns:p="http://schemas.microsoft.com/office/2006/metadata/properties" xmlns:ns2="544be07d-7465-4746-b40c-f2df032bad02" targetNamespace="http://schemas.microsoft.com/office/2006/metadata/properties" ma:root="true" ma:fieldsID="1255f22afd4ed136c599278387d3d69b"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44be07d-7465-4746-b40c-f2df032bad02">GDIT-7952-7461</_dlc_DocId>
    <_dlc_DocIdUrl xmlns="544be07d-7465-4746-b40c-f2df032bad02">
      <Url>https://spspi.gdit.com/opshcsd/HCSD_Health_Solutions/MMS/HA/ArkPayImpInit/_layouts/DocIdRedir.aspx?ID=GDIT-7952-7461</Url>
      <Description>GDIT-7952-7461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517E-8731-4226-889C-2251F8990C67}">
  <ds:schemaRefs>
    <ds:schemaRef ds:uri="http://schemas.microsoft.com/sharepoint/v3/contenttype/forms"/>
  </ds:schemaRefs>
</ds:datastoreItem>
</file>

<file path=customXml/itemProps2.xml><?xml version="1.0" encoding="utf-8"?>
<ds:datastoreItem xmlns:ds="http://schemas.openxmlformats.org/officeDocument/2006/customXml" ds:itemID="{A7807ADD-2D74-47B8-B569-A916375D5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6CCBE-2921-498B-B6B2-2C097705BFAA}">
  <ds:schemaRefs>
    <ds:schemaRef ds:uri="http://schemas.microsoft.com/sharepoint/events"/>
  </ds:schemaRefs>
</ds:datastoreItem>
</file>

<file path=customXml/itemProps4.xml><?xml version="1.0" encoding="utf-8"?>
<ds:datastoreItem xmlns:ds="http://schemas.openxmlformats.org/officeDocument/2006/customXml" ds:itemID="{71B66235-7391-4E51-9D4A-128DDE7758B4}">
  <ds:schemaRefs>
    <ds:schemaRef ds:uri="http://schemas.microsoft.com/office/2006/metadata/properties"/>
    <ds:schemaRef ds:uri="http://schemas.microsoft.com/office/infopath/2007/PartnerControls"/>
    <ds:schemaRef ds:uri="544be07d-7465-4746-b40c-f2df032bad02"/>
  </ds:schemaRefs>
</ds:datastoreItem>
</file>

<file path=customXml/itemProps5.xml><?xml version="1.0" encoding="utf-8"?>
<ds:datastoreItem xmlns:ds="http://schemas.openxmlformats.org/officeDocument/2006/customXml" ds:itemID="{0CE7C554-3487-4A75-8C5D-6080A7D5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5821</Words>
  <Characters>33180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38924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Ian M.</dc:creator>
  <cp:keywords/>
  <dc:description/>
  <cp:lastModifiedBy>Gavin Gray</cp:lastModifiedBy>
  <cp:revision>9</cp:revision>
  <cp:lastPrinted>2021-11-30T22:54:00Z</cp:lastPrinted>
  <dcterms:created xsi:type="dcterms:W3CDTF">2022-11-23T16:52:00Z</dcterms:created>
  <dcterms:modified xsi:type="dcterms:W3CDTF">2022-11-30T19:19:00Z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1b684c31-96e6-4d4e-92d6-eb6fa327dbf3</vt:lpwstr>
  </property>
  <property fmtid="{D5CDD505-2E9C-101B-9397-08002B2CF9AE}" pid="3" name="ContentTypeId">
    <vt:lpwstr>0x0101002CA2638B76ABB445ABA131A4EE3B3C5C</vt:lpwstr>
  </property>
</Properties>
</file>