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BF50" w14:textId="35A958C8" w:rsidR="00500211" w:rsidRDefault="00500211" w:rsidP="00F21C61">
      <w:pPr>
        <w:rPr>
          <w:rStyle w:val="SubtleEmphasis"/>
          <w:b/>
          <w:bCs/>
          <w:i w:val="0"/>
          <w:iCs w:val="0"/>
          <w:sz w:val="32"/>
          <w:szCs w:val="32"/>
        </w:rPr>
      </w:pPr>
    </w:p>
    <w:p w14:paraId="624E6939" w14:textId="2797CADD" w:rsidR="00364765" w:rsidRPr="00500211" w:rsidRDefault="00BC540C" w:rsidP="00500211">
      <w:pPr>
        <w:shd w:val="clear" w:color="auto" w:fill="4472C4" w:themeFill="accent1"/>
        <w:rPr>
          <w:rStyle w:val="SubtleEmphasis"/>
          <w:b/>
          <w:bCs/>
          <w:i w:val="0"/>
          <w:iCs w:val="0"/>
          <w:color w:val="FFFFFF" w:themeColor="background1"/>
          <w:sz w:val="32"/>
          <w:szCs w:val="32"/>
        </w:rPr>
      </w:pPr>
      <w:r>
        <w:rPr>
          <w:rStyle w:val="SubtleEmphasis"/>
          <w:b/>
          <w:bCs/>
          <w:i w:val="0"/>
          <w:iCs w:val="0"/>
          <w:color w:val="FFFFFF" w:themeColor="background1"/>
          <w:sz w:val="32"/>
          <w:szCs w:val="32"/>
        </w:rPr>
        <w:t>Provider Incentive Program</w:t>
      </w:r>
      <w:r w:rsidR="004F2679">
        <w:rPr>
          <w:rStyle w:val="SubtleEmphasis"/>
          <w:b/>
          <w:bCs/>
          <w:i w:val="0"/>
          <w:iCs w:val="0"/>
          <w:color w:val="FFFFFF" w:themeColor="background1"/>
          <w:sz w:val="32"/>
          <w:szCs w:val="32"/>
        </w:rPr>
        <w:t xml:space="preserve"> History</w:t>
      </w:r>
    </w:p>
    <w:p w14:paraId="590A2821" w14:textId="7D679178" w:rsidR="00BC540C" w:rsidRPr="005F1C04" w:rsidRDefault="00BC540C" w:rsidP="00BC540C">
      <w:pPr>
        <w:rPr>
          <w:rStyle w:val="SubtleEmphasis"/>
          <w:i w:val="0"/>
          <w:iCs w:val="0"/>
          <w:color w:val="auto"/>
        </w:rPr>
      </w:pPr>
      <w:r w:rsidRPr="005F1C04">
        <w:rPr>
          <w:rStyle w:val="SubtleEmphasis"/>
          <w:i w:val="0"/>
          <w:iCs w:val="0"/>
          <w:color w:val="auto"/>
        </w:rPr>
        <w:t xml:space="preserve">Section 9817 of the </w:t>
      </w:r>
      <w:r w:rsidR="001160D6" w:rsidRPr="005F1C04">
        <w:rPr>
          <w:rStyle w:val="SubtleEmphasis"/>
          <w:i w:val="0"/>
          <w:iCs w:val="0"/>
          <w:color w:val="auto"/>
        </w:rPr>
        <w:t xml:space="preserve">American Rescue Plan Act (ARPA) </w:t>
      </w:r>
      <w:r w:rsidRPr="005F1C04">
        <w:rPr>
          <w:rStyle w:val="SubtleEmphasis"/>
          <w:i w:val="0"/>
          <w:iCs w:val="0"/>
          <w:color w:val="auto"/>
        </w:rPr>
        <w:t>provides additional support for Medicaid home</w:t>
      </w:r>
      <w:r w:rsidR="001160D6" w:rsidRPr="005F1C04">
        <w:rPr>
          <w:rStyle w:val="SubtleEmphasis"/>
          <w:i w:val="0"/>
          <w:iCs w:val="0"/>
          <w:color w:val="auto"/>
        </w:rPr>
        <w:t>-</w:t>
      </w:r>
      <w:r w:rsidRPr="005F1C04">
        <w:rPr>
          <w:rStyle w:val="SubtleEmphasis"/>
          <w:i w:val="0"/>
          <w:iCs w:val="0"/>
          <w:color w:val="auto"/>
        </w:rPr>
        <w:t xml:space="preserve"> and community-based services (HCBS) through an increase of ten (10) percent to a state’s Federal medical assistance percentage (FMAP). The Centers for Medicare and Medicaid Services (CMS) issued a State Medicaid Director’s letter (SMD-21-003) on May 13, 2021. The letter provides guidance to states on the implementation of </w:t>
      </w:r>
      <w:r w:rsidR="00E2393B" w:rsidRPr="005F1C04">
        <w:rPr>
          <w:rStyle w:val="SubtleEmphasis"/>
          <w:i w:val="0"/>
          <w:iCs w:val="0"/>
          <w:color w:val="auto"/>
        </w:rPr>
        <w:t xml:space="preserve">ARPA </w:t>
      </w:r>
      <w:r w:rsidR="0087602D">
        <w:rPr>
          <w:rStyle w:val="SubtleEmphasis"/>
          <w:i w:val="0"/>
          <w:iCs w:val="0"/>
          <w:color w:val="auto"/>
        </w:rPr>
        <w:t>S</w:t>
      </w:r>
      <w:r w:rsidRPr="005F1C04">
        <w:rPr>
          <w:rStyle w:val="SubtleEmphasis"/>
          <w:i w:val="0"/>
          <w:iCs w:val="0"/>
          <w:color w:val="auto"/>
        </w:rPr>
        <w:t xml:space="preserve">ection 9817 as well as opportunities for states to expand, enhance, and strengthen the HCBS system in response to the </w:t>
      </w:r>
      <w:r w:rsidR="00E2393B" w:rsidRPr="005F1C04">
        <w:rPr>
          <w:rStyle w:val="SubtleEmphasis"/>
          <w:i w:val="0"/>
          <w:iCs w:val="0"/>
          <w:color w:val="auto"/>
        </w:rPr>
        <w:t>COVID-19 Public Health Emergency (PHE)</w:t>
      </w:r>
      <w:r w:rsidRPr="005F1C04">
        <w:rPr>
          <w:rStyle w:val="SubtleEmphasis"/>
          <w:i w:val="0"/>
          <w:iCs w:val="0"/>
          <w:color w:val="auto"/>
        </w:rPr>
        <w:t xml:space="preserve">. Based on the legislation and the SDM Letter, states developed HCBS Spending Plans. </w:t>
      </w:r>
    </w:p>
    <w:p w14:paraId="504CDC7E" w14:textId="099A2C04" w:rsidR="00BC540C" w:rsidRPr="005F1C04" w:rsidRDefault="00BC540C" w:rsidP="00BC540C">
      <w:pPr>
        <w:rPr>
          <w:rStyle w:val="SubtleEmphasis"/>
          <w:i w:val="0"/>
          <w:iCs w:val="0"/>
          <w:color w:val="auto"/>
        </w:rPr>
      </w:pPr>
      <w:r w:rsidRPr="005F1C04">
        <w:rPr>
          <w:rStyle w:val="SubtleEmphasis"/>
          <w:i w:val="0"/>
          <w:iCs w:val="0"/>
          <w:color w:val="auto"/>
        </w:rPr>
        <w:t>Arkansas Department of Human Services (DHS)</w:t>
      </w:r>
      <w:r w:rsidR="00502D52" w:rsidRPr="005F1C04">
        <w:rPr>
          <w:rStyle w:val="SubtleEmphasis"/>
          <w:i w:val="0"/>
          <w:iCs w:val="0"/>
          <w:color w:val="auto"/>
        </w:rPr>
        <w:t xml:space="preserve"> proposed </w:t>
      </w:r>
      <w:r w:rsidRPr="005F1C04">
        <w:rPr>
          <w:rStyle w:val="SubtleEmphasis"/>
          <w:i w:val="0"/>
          <w:iCs w:val="0"/>
          <w:color w:val="auto"/>
        </w:rPr>
        <w:t>a two-phase process</w:t>
      </w:r>
      <w:r w:rsidR="00502D52" w:rsidRPr="005F1C04">
        <w:rPr>
          <w:rStyle w:val="SubtleEmphasis"/>
          <w:i w:val="0"/>
          <w:iCs w:val="0"/>
          <w:color w:val="auto"/>
        </w:rPr>
        <w:t xml:space="preserve"> within the Arkansas </w:t>
      </w:r>
      <w:r w:rsidR="000116DA" w:rsidRPr="005F1C04">
        <w:rPr>
          <w:rStyle w:val="SubtleEmphasis"/>
          <w:i w:val="0"/>
          <w:iCs w:val="0"/>
          <w:color w:val="auto"/>
        </w:rPr>
        <w:t xml:space="preserve">HCBS </w:t>
      </w:r>
      <w:r w:rsidR="00502D52" w:rsidRPr="005F1C04">
        <w:rPr>
          <w:rStyle w:val="SubtleEmphasis"/>
          <w:i w:val="0"/>
          <w:iCs w:val="0"/>
          <w:color w:val="auto"/>
        </w:rPr>
        <w:t xml:space="preserve">Spending </w:t>
      </w:r>
      <w:r w:rsidR="00123DEA" w:rsidRPr="005F1C04">
        <w:rPr>
          <w:rStyle w:val="SubtleEmphasis"/>
          <w:i w:val="0"/>
          <w:iCs w:val="0"/>
          <w:color w:val="auto"/>
        </w:rPr>
        <w:t>Plan</w:t>
      </w:r>
      <w:r w:rsidR="00D80C4C" w:rsidRPr="005F1C04">
        <w:rPr>
          <w:rStyle w:val="SubtleEmphasis"/>
          <w:i w:val="0"/>
          <w:iCs w:val="0"/>
          <w:color w:val="auto"/>
        </w:rPr>
        <w:t xml:space="preserve"> (the Spending Plan)</w:t>
      </w:r>
      <w:r w:rsidRPr="005F1C04">
        <w:rPr>
          <w:rStyle w:val="SubtleEmphasis"/>
          <w:i w:val="0"/>
          <w:iCs w:val="0"/>
          <w:color w:val="auto"/>
        </w:rPr>
        <w:t xml:space="preserve">. </w:t>
      </w:r>
      <w:r w:rsidR="00D80C4C" w:rsidRPr="005F1C04">
        <w:rPr>
          <w:rStyle w:val="SubtleEmphasis"/>
          <w:i w:val="0"/>
          <w:iCs w:val="0"/>
          <w:color w:val="auto"/>
        </w:rPr>
        <w:t xml:space="preserve">Phase 1 of the Spending Plan </w:t>
      </w:r>
      <w:r w:rsidR="00064A7E" w:rsidRPr="005F1C04">
        <w:rPr>
          <w:rStyle w:val="SubtleEmphasis"/>
          <w:i w:val="0"/>
          <w:iCs w:val="0"/>
          <w:color w:val="auto"/>
        </w:rPr>
        <w:t>focuses t</w:t>
      </w:r>
      <w:r w:rsidRPr="005F1C04">
        <w:rPr>
          <w:rStyle w:val="SubtleEmphasis"/>
          <w:i w:val="0"/>
          <w:iCs w:val="0"/>
          <w:color w:val="auto"/>
        </w:rPr>
        <w:t>he Workforce Stabilization Provider Incentive Program</w:t>
      </w:r>
      <w:r w:rsidR="001375BB" w:rsidRPr="005F1C04">
        <w:rPr>
          <w:rStyle w:val="SubtleEmphasis"/>
          <w:i w:val="0"/>
          <w:iCs w:val="0"/>
          <w:color w:val="auto"/>
        </w:rPr>
        <w:t>. Phase 2</w:t>
      </w:r>
      <w:r w:rsidR="00947E19" w:rsidRPr="005F1C04">
        <w:rPr>
          <w:rStyle w:val="SubtleEmphasis"/>
          <w:i w:val="0"/>
          <w:iCs w:val="0"/>
          <w:color w:val="auto"/>
        </w:rPr>
        <w:t xml:space="preserve"> includes two additional initiatives: (1) Planning for the Future: Technology and Education, and (2) Expanding and Enhancing HCBS Services.</w:t>
      </w:r>
    </w:p>
    <w:p w14:paraId="766D0FF4" w14:textId="2F422FA8" w:rsidR="00BC540C" w:rsidRPr="00500211" w:rsidRDefault="00B2710C" w:rsidP="00BC540C">
      <w:pPr>
        <w:shd w:val="clear" w:color="auto" w:fill="4472C4" w:themeFill="accent1"/>
        <w:rPr>
          <w:rStyle w:val="SubtleEmphasis"/>
          <w:b/>
          <w:bCs/>
          <w:i w:val="0"/>
          <w:iCs w:val="0"/>
          <w:color w:val="FFFFFF" w:themeColor="background1"/>
          <w:sz w:val="32"/>
          <w:szCs w:val="32"/>
        </w:rPr>
      </w:pPr>
      <w:r>
        <w:rPr>
          <w:rStyle w:val="SubtleEmphasis"/>
          <w:b/>
          <w:bCs/>
          <w:i w:val="0"/>
          <w:iCs w:val="0"/>
          <w:color w:val="FFFFFF" w:themeColor="background1"/>
          <w:sz w:val="32"/>
          <w:szCs w:val="32"/>
        </w:rPr>
        <w:t xml:space="preserve">Workforce Recruitment </w:t>
      </w:r>
      <w:r w:rsidR="00BC540C">
        <w:rPr>
          <w:rStyle w:val="SubtleEmphasis"/>
          <w:b/>
          <w:bCs/>
          <w:i w:val="0"/>
          <w:iCs w:val="0"/>
          <w:color w:val="FFFFFF" w:themeColor="background1"/>
          <w:sz w:val="32"/>
          <w:szCs w:val="32"/>
        </w:rPr>
        <w:t>Operations Plan Pur</w:t>
      </w:r>
      <w:r w:rsidR="001160D6">
        <w:rPr>
          <w:rStyle w:val="SubtleEmphasis"/>
          <w:b/>
          <w:bCs/>
          <w:i w:val="0"/>
          <w:iCs w:val="0"/>
          <w:color w:val="FFFFFF" w:themeColor="background1"/>
          <w:sz w:val="32"/>
          <w:szCs w:val="32"/>
        </w:rPr>
        <w:t xml:space="preserve">pose </w:t>
      </w:r>
    </w:p>
    <w:p w14:paraId="467F490C" w14:textId="0B7AF058" w:rsidR="00E76F88" w:rsidRPr="005F1C04" w:rsidRDefault="00D22F91" w:rsidP="00E76F88">
      <w:pPr>
        <w:rPr>
          <w:rStyle w:val="SubtleEmphasis"/>
          <w:i w:val="0"/>
          <w:iCs w:val="0"/>
          <w:color w:val="auto"/>
        </w:rPr>
      </w:pPr>
      <w:r w:rsidRPr="005F1C04">
        <w:rPr>
          <w:rStyle w:val="SubtleEmphasis"/>
          <w:i w:val="0"/>
          <w:iCs w:val="0"/>
          <w:color w:val="auto"/>
        </w:rPr>
        <w:t xml:space="preserve">The </w:t>
      </w:r>
      <w:r w:rsidR="007518BF" w:rsidRPr="005F1C04">
        <w:rPr>
          <w:rStyle w:val="SubtleEmphasis"/>
          <w:i w:val="0"/>
          <w:iCs w:val="0"/>
          <w:color w:val="auto"/>
        </w:rPr>
        <w:t xml:space="preserve">Workforce Recruitment </w:t>
      </w:r>
      <w:r w:rsidRPr="005F1C04">
        <w:rPr>
          <w:rStyle w:val="SubtleEmphasis"/>
          <w:i w:val="0"/>
          <w:iCs w:val="0"/>
          <w:color w:val="auto"/>
        </w:rPr>
        <w:t>Operations Plan</w:t>
      </w:r>
      <w:r w:rsidR="007518BF" w:rsidRPr="005F1C04">
        <w:rPr>
          <w:rStyle w:val="SubtleEmphasis"/>
          <w:i w:val="0"/>
          <w:iCs w:val="0"/>
          <w:color w:val="auto"/>
        </w:rPr>
        <w:t xml:space="preserve"> (the Operations Plan)</w:t>
      </w:r>
      <w:r w:rsidRPr="005F1C04">
        <w:rPr>
          <w:rStyle w:val="SubtleEmphasis"/>
          <w:i w:val="0"/>
          <w:iCs w:val="0"/>
          <w:color w:val="auto"/>
        </w:rPr>
        <w:t xml:space="preserve"> provided below summarizes the step-by-step process </w:t>
      </w:r>
      <w:r w:rsidR="00402FE7" w:rsidRPr="005F1C04">
        <w:rPr>
          <w:rStyle w:val="SubtleEmphasis"/>
          <w:i w:val="0"/>
          <w:iCs w:val="0"/>
          <w:color w:val="auto"/>
        </w:rPr>
        <w:t>DHS</w:t>
      </w:r>
      <w:r w:rsidR="00AB27AB" w:rsidRPr="005F1C04">
        <w:rPr>
          <w:rStyle w:val="SubtleEmphasis"/>
          <w:i w:val="0"/>
          <w:iCs w:val="0"/>
          <w:color w:val="auto"/>
        </w:rPr>
        <w:t xml:space="preserve"> uses to administer the </w:t>
      </w:r>
      <w:r w:rsidR="00002D40" w:rsidRPr="005F1C04">
        <w:rPr>
          <w:rStyle w:val="SubtleEmphasis"/>
          <w:i w:val="0"/>
          <w:iCs w:val="0"/>
          <w:color w:val="auto"/>
        </w:rPr>
        <w:t xml:space="preserve">Workforce Stabilization </w:t>
      </w:r>
      <w:r w:rsidR="00402FE7" w:rsidRPr="005F1C04">
        <w:rPr>
          <w:rStyle w:val="SubtleEmphasis"/>
          <w:i w:val="0"/>
          <w:iCs w:val="0"/>
          <w:color w:val="auto"/>
        </w:rPr>
        <w:t>Provider Incentive Program</w:t>
      </w:r>
      <w:r w:rsidR="00002D40" w:rsidRPr="005F1C04">
        <w:rPr>
          <w:rStyle w:val="SubtleEmphasis"/>
          <w:i w:val="0"/>
          <w:iCs w:val="0"/>
          <w:color w:val="auto"/>
        </w:rPr>
        <w:t xml:space="preserve"> (the Program)</w:t>
      </w:r>
      <w:r w:rsidR="00402FE7" w:rsidRPr="005F1C04">
        <w:rPr>
          <w:rStyle w:val="SubtleEmphasis"/>
          <w:i w:val="0"/>
          <w:iCs w:val="0"/>
          <w:color w:val="auto"/>
        </w:rPr>
        <w:t xml:space="preserve"> as outlined in the</w:t>
      </w:r>
      <w:r w:rsidR="007518BF" w:rsidRPr="005F1C04">
        <w:rPr>
          <w:rStyle w:val="SubtleEmphasis"/>
          <w:i w:val="0"/>
          <w:iCs w:val="0"/>
          <w:color w:val="auto"/>
        </w:rPr>
        <w:t xml:space="preserve"> State’s</w:t>
      </w:r>
      <w:r w:rsidR="00402FE7" w:rsidRPr="005F1C04">
        <w:rPr>
          <w:rStyle w:val="SubtleEmphasis"/>
          <w:i w:val="0"/>
          <w:iCs w:val="0"/>
          <w:color w:val="auto"/>
        </w:rPr>
        <w:t xml:space="preserve"> Spending Plan. </w:t>
      </w:r>
      <w:r w:rsidR="00C0583A" w:rsidRPr="005F1C04">
        <w:rPr>
          <w:rStyle w:val="SubtleEmphasis"/>
          <w:i w:val="0"/>
          <w:iCs w:val="0"/>
          <w:color w:val="auto"/>
        </w:rPr>
        <w:t xml:space="preserve">The purpose of this document is to communicate the HCBS providers and other key stakeholders, how to </w:t>
      </w:r>
      <w:r w:rsidR="00E76F88" w:rsidRPr="005F1C04">
        <w:rPr>
          <w:rStyle w:val="SubtleEmphasis"/>
          <w:i w:val="0"/>
          <w:iCs w:val="0"/>
          <w:color w:val="auto"/>
        </w:rPr>
        <w:t xml:space="preserve">apply for and distributed allotted provider incentives. </w:t>
      </w:r>
      <w:r w:rsidR="00EF500D" w:rsidRPr="005F1C04">
        <w:rPr>
          <w:rStyle w:val="SubtleEmphasis"/>
          <w:i w:val="0"/>
          <w:iCs w:val="0"/>
          <w:color w:val="auto"/>
        </w:rPr>
        <w:t xml:space="preserve">This Operations Plan is limited to the Workforce Recruitment category of the Program. </w:t>
      </w:r>
      <w:r w:rsidR="00F20EB4" w:rsidRPr="005F1C04">
        <w:rPr>
          <w:rStyle w:val="SubtleEmphasis"/>
          <w:i w:val="0"/>
          <w:iCs w:val="0"/>
          <w:color w:val="auto"/>
        </w:rPr>
        <w:t>Guidanc</w:t>
      </w:r>
      <w:r w:rsidR="00284F05" w:rsidRPr="005F1C04">
        <w:rPr>
          <w:rStyle w:val="SubtleEmphasis"/>
          <w:i w:val="0"/>
          <w:iCs w:val="0"/>
          <w:color w:val="auto"/>
        </w:rPr>
        <w:t>e</w:t>
      </w:r>
      <w:r w:rsidR="00F20EB4" w:rsidRPr="005F1C04">
        <w:rPr>
          <w:rStyle w:val="SubtleEmphasis"/>
          <w:i w:val="0"/>
          <w:iCs w:val="0"/>
          <w:color w:val="auto"/>
        </w:rPr>
        <w:t xml:space="preserve"> regarding other </w:t>
      </w:r>
      <w:r w:rsidR="00284F05" w:rsidRPr="005F1C04">
        <w:rPr>
          <w:rStyle w:val="SubtleEmphasis"/>
          <w:i w:val="0"/>
          <w:iCs w:val="0"/>
          <w:color w:val="auto"/>
        </w:rPr>
        <w:t xml:space="preserve">Program categories will be provided separately. </w:t>
      </w:r>
    </w:p>
    <w:p w14:paraId="2B0DECFC" w14:textId="27BBC1FB" w:rsidR="00E76F88" w:rsidRPr="00500211" w:rsidRDefault="00E76F88" w:rsidP="00E76F88">
      <w:pPr>
        <w:shd w:val="clear" w:color="auto" w:fill="4472C4" w:themeFill="accent1"/>
        <w:rPr>
          <w:rStyle w:val="SubtleEmphasis"/>
          <w:b/>
          <w:bCs/>
          <w:i w:val="0"/>
          <w:iCs w:val="0"/>
          <w:color w:val="FFFFFF" w:themeColor="background1"/>
          <w:sz w:val="32"/>
          <w:szCs w:val="32"/>
        </w:rPr>
      </w:pPr>
      <w:r>
        <w:rPr>
          <w:rStyle w:val="SubtleEmphasis"/>
          <w:b/>
          <w:bCs/>
          <w:i w:val="0"/>
          <w:iCs w:val="0"/>
          <w:color w:val="FFFFFF" w:themeColor="background1"/>
          <w:sz w:val="32"/>
          <w:szCs w:val="32"/>
        </w:rPr>
        <w:t xml:space="preserve">Provider Eligibility </w:t>
      </w:r>
    </w:p>
    <w:p w14:paraId="002402DC" w14:textId="77777777" w:rsidR="00C7396E" w:rsidRPr="005F1C04" w:rsidRDefault="00797BD6" w:rsidP="00E76F88">
      <w:pPr>
        <w:rPr>
          <w:rStyle w:val="SubtleEmphasis"/>
          <w:i w:val="0"/>
          <w:iCs w:val="0"/>
          <w:color w:val="auto"/>
        </w:rPr>
      </w:pPr>
      <w:r w:rsidRPr="005F1C04">
        <w:rPr>
          <w:rStyle w:val="SubtleEmphasis"/>
          <w:i w:val="0"/>
          <w:iCs w:val="0"/>
          <w:color w:val="auto"/>
        </w:rPr>
        <w:t xml:space="preserve">Eligible providers are </w:t>
      </w:r>
      <w:r w:rsidR="00AB0741" w:rsidRPr="005F1C04">
        <w:rPr>
          <w:rStyle w:val="SubtleEmphasis"/>
          <w:i w:val="0"/>
          <w:iCs w:val="0"/>
          <w:color w:val="auto"/>
        </w:rPr>
        <w:t>determined</w:t>
      </w:r>
      <w:r w:rsidRPr="005F1C04">
        <w:rPr>
          <w:rStyle w:val="SubtleEmphasis"/>
          <w:i w:val="0"/>
          <w:iCs w:val="0"/>
          <w:color w:val="auto"/>
        </w:rPr>
        <w:t xml:space="preserve"> by</w:t>
      </w:r>
      <w:r w:rsidR="00890413" w:rsidRPr="005F1C04">
        <w:rPr>
          <w:rStyle w:val="SubtleEmphasis"/>
          <w:i w:val="0"/>
          <w:iCs w:val="0"/>
          <w:color w:val="auto"/>
        </w:rPr>
        <w:t xml:space="preserve"> Appendix B of</w:t>
      </w:r>
      <w:r w:rsidRPr="005F1C04">
        <w:rPr>
          <w:rStyle w:val="SubtleEmphasis"/>
          <w:i w:val="0"/>
          <w:iCs w:val="0"/>
          <w:color w:val="auto"/>
        </w:rPr>
        <w:t xml:space="preserve"> the </w:t>
      </w:r>
      <w:r w:rsidR="00890413" w:rsidRPr="005F1C04">
        <w:rPr>
          <w:rStyle w:val="SubtleEmphasis"/>
          <w:i w:val="0"/>
          <w:iCs w:val="0"/>
          <w:color w:val="auto"/>
        </w:rPr>
        <w:t>CMS State Medicaid Director’s letter (SMD-21-003)</w:t>
      </w:r>
      <w:r w:rsidR="00AB0741" w:rsidRPr="005F1C04">
        <w:rPr>
          <w:rStyle w:val="SubtleEmphasis"/>
          <w:i w:val="0"/>
          <w:iCs w:val="0"/>
          <w:color w:val="auto"/>
        </w:rPr>
        <w:t xml:space="preserve">. A copy of the SMD letter can be found at: </w:t>
      </w:r>
    </w:p>
    <w:p w14:paraId="65A3B7EA" w14:textId="19888D39" w:rsidR="00E76F88" w:rsidRDefault="004F5E2C" w:rsidP="00C7396E">
      <w:pPr>
        <w:jc w:val="center"/>
        <w:rPr>
          <w:rStyle w:val="SubtleEmphasis"/>
          <w:i w:val="0"/>
          <w:iCs w:val="0"/>
        </w:rPr>
      </w:pPr>
      <w:hyperlink r:id="rId11" w:history="1">
        <w:r w:rsidR="00C7396E" w:rsidRPr="00A537AE">
          <w:rPr>
            <w:rStyle w:val="Hyperlink"/>
          </w:rPr>
          <w:t>https://www.medicaid.gov/federal-policy-guidance/downloads/smd21003.pdf</w:t>
        </w:r>
      </w:hyperlink>
    </w:p>
    <w:p w14:paraId="6E413D33" w14:textId="4F012066" w:rsidR="00DC3FCA" w:rsidRPr="00DC3FCA" w:rsidRDefault="00DC3FCA" w:rsidP="00DC3FCA">
      <w:pPr>
        <w:rPr>
          <w:rStyle w:val="SubtleEmphasis"/>
          <w:i w:val="0"/>
          <w:iCs w:val="0"/>
          <w:color w:val="auto"/>
        </w:rPr>
      </w:pPr>
      <w:r w:rsidRPr="00DC3FCA">
        <w:rPr>
          <w:rStyle w:val="SubtleEmphasis"/>
          <w:i w:val="0"/>
          <w:iCs w:val="0"/>
          <w:color w:val="auto"/>
        </w:rPr>
        <w:t xml:space="preserve">Appendix B providers eligible to apply for </w:t>
      </w:r>
      <w:r>
        <w:rPr>
          <w:rStyle w:val="SubtleEmphasis"/>
          <w:i w:val="0"/>
          <w:iCs w:val="0"/>
          <w:color w:val="auto"/>
        </w:rPr>
        <w:t xml:space="preserve">the Program </w:t>
      </w:r>
      <w:r w:rsidRPr="00DC3FCA">
        <w:rPr>
          <w:rStyle w:val="SubtleEmphasis"/>
          <w:i w:val="0"/>
          <w:iCs w:val="0"/>
          <w:color w:val="auto"/>
        </w:rPr>
        <w:t xml:space="preserve">are certified providers who </w:t>
      </w:r>
      <w:r w:rsidR="00B6540A">
        <w:rPr>
          <w:rStyle w:val="SubtleEmphasis"/>
          <w:i w:val="0"/>
          <w:iCs w:val="0"/>
          <w:color w:val="auto"/>
        </w:rPr>
        <w:t>deliver</w:t>
      </w:r>
      <w:r w:rsidRPr="00DC3FCA">
        <w:rPr>
          <w:rStyle w:val="SubtleEmphasis"/>
          <w:i w:val="0"/>
          <w:iCs w:val="0"/>
          <w:color w:val="auto"/>
        </w:rPr>
        <w:t xml:space="preserve"> direct care </w:t>
      </w:r>
      <w:r w:rsidR="00B6540A">
        <w:rPr>
          <w:rStyle w:val="SubtleEmphasis"/>
          <w:i w:val="0"/>
          <w:iCs w:val="0"/>
          <w:color w:val="auto"/>
        </w:rPr>
        <w:t>services</w:t>
      </w:r>
      <w:r w:rsidRPr="00DC3FCA">
        <w:rPr>
          <w:rStyle w:val="SubtleEmphasis"/>
          <w:i w:val="0"/>
          <w:iCs w:val="0"/>
          <w:color w:val="auto"/>
        </w:rPr>
        <w:t xml:space="preserve"> in the following Medicaid State Plan (SPA) programs and/or services:</w:t>
      </w:r>
    </w:p>
    <w:p w14:paraId="2E5AE0C3" w14:textId="77777777" w:rsidR="000B521B" w:rsidRPr="000B521B" w:rsidRDefault="000B521B" w:rsidP="000B521B">
      <w:pPr>
        <w:pStyle w:val="ListParagraph"/>
        <w:numPr>
          <w:ilvl w:val="0"/>
          <w:numId w:val="6"/>
        </w:numPr>
        <w:rPr>
          <w:rStyle w:val="SubtleEmphasis"/>
          <w:i w:val="0"/>
          <w:iCs w:val="0"/>
          <w:color w:val="auto"/>
        </w:rPr>
      </w:pPr>
      <w:r w:rsidRPr="000B521B">
        <w:rPr>
          <w:rStyle w:val="SubtleEmphasis"/>
          <w:i w:val="0"/>
          <w:iCs w:val="0"/>
          <w:color w:val="auto"/>
        </w:rPr>
        <w:t xml:space="preserve">AR Choices 1915(c) HCBS Waiver  </w:t>
      </w:r>
    </w:p>
    <w:p w14:paraId="520C6EF4" w14:textId="77777777" w:rsidR="000B521B" w:rsidRPr="000B521B" w:rsidRDefault="000B521B" w:rsidP="000B521B">
      <w:pPr>
        <w:pStyle w:val="ListParagraph"/>
        <w:numPr>
          <w:ilvl w:val="0"/>
          <w:numId w:val="6"/>
        </w:numPr>
        <w:rPr>
          <w:rStyle w:val="SubtleEmphasis"/>
          <w:i w:val="0"/>
          <w:iCs w:val="0"/>
          <w:color w:val="auto"/>
        </w:rPr>
      </w:pPr>
      <w:r w:rsidRPr="000B521B">
        <w:rPr>
          <w:rStyle w:val="SubtleEmphasis"/>
          <w:i w:val="0"/>
          <w:iCs w:val="0"/>
          <w:color w:val="auto"/>
        </w:rPr>
        <w:t xml:space="preserve">Living Choices Assisted Living 1915(c) HCBS Waiver </w:t>
      </w:r>
    </w:p>
    <w:p w14:paraId="08D3DE67" w14:textId="77777777" w:rsidR="00B211E8" w:rsidRPr="000B521B" w:rsidRDefault="00B211E8" w:rsidP="00B211E8">
      <w:pPr>
        <w:pStyle w:val="ListParagraph"/>
        <w:numPr>
          <w:ilvl w:val="0"/>
          <w:numId w:val="6"/>
        </w:numPr>
        <w:rPr>
          <w:rStyle w:val="SubtleEmphasis"/>
          <w:i w:val="0"/>
          <w:iCs w:val="0"/>
          <w:color w:val="auto"/>
        </w:rPr>
      </w:pPr>
      <w:r w:rsidRPr="000B521B">
        <w:rPr>
          <w:rStyle w:val="SubtleEmphasis"/>
          <w:i w:val="0"/>
          <w:iCs w:val="0"/>
          <w:color w:val="auto"/>
        </w:rPr>
        <w:t xml:space="preserve">Autism 1915(c) Waiver  </w:t>
      </w:r>
    </w:p>
    <w:p w14:paraId="420978C2" w14:textId="77777777" w:rsidR="000B521B" w:rsidRPr="000B521B" w:rsidRDefault="000B521B" w:rsidP="000B521B">
      <w:pPr>
        <w:pStyle w:val="ListParagraph"/>
        <w:numPr>
          <w:ilvl w:val="0"/>
          <w:numId w:val="6"/>
        </w:numPr>
        <w:rPr>
          <w:rStyle w:val="SubtleEmphasis"/>
          <w:i w:val="0"/>
          <w:iCs w:val="0"/>
          <w:color w:val="auto"/>
        </w:rPr>
      </w:pPr>
      <w:r w:rsidRPr="000B521B">
        <w:rPr>
          <w:rStyle w:val="SubtleEmphasis"/>
          <w:i w:val="0"/>
          <w:iCs w:val="0"/>
          <w:color w:val="auto"/>
        </w:rPr>
        <w:t xml:space="preserve">Community and Employment Supports 1915(c) HCBS Waiver within PASSE </w:t>
      </w:r>
    </w:p>
    <w:p w14:paraId="3164285D" w14:textId="77777777" w:rsidR="0032555F" w:rsidRDefault="000B521B" w:rsidP="000B521B">
      <w:pPr>
        <w:pStyle w:val="ListParagraph"/>
        <w:numPr>
          <w:ilvl w:val="0"/>
          <w:numId w:val="6"/>
        </w:numPr>
        <w:rPr>
          <w:rStyle w:val="SubtleEmphasis"/>
          <w:i w:val="0"/>
          <w:iCs w:val="0"/>
          <w:color w:val="auto"/>
        </w:rPr>
      </w:pPr>
      <w:r w:rsidRPr="000B521B">
        <w:rPr>
          <w:rStyle w:val="SubtleEmphasis"/>
          <w:i w:val="0"/>
          <w:iCs w:val="0"/>
          <w:color w:val="auto"/>
        </w:rPr>
        <w:t>1915(</w:t>
      </w:r>
      <w:proofErr w:type="spellStart"/>
      <w:r w:rsidRPr="000B521B">
        <w:rPr>
          <w:rStyle w:val="SubtleEmphasis"/>
          <w:i w:val="0"/>
          <w:iCs w:val="0"/>
          <w:color w:val="auto"/>
        </w:rPr>
        <w:t>i</w:t>
      </w:r>
      <w:proofErr w:type="spellEnd"/>
      <w:r w:rsidRPr="000B521B">
        <w:rPr>
          <w:rStyle w:val="SubtleEmphasis"/>
          <w:i w:val="0"/>
          <w:iCs w:val="0"/>
          <w:color w:val="auto"/>
        </w:rPr>
        <w:t xml:space="preserve">) State Plan Behavioral Health Services within PASSE </w:t>
      </w:r>
      <w:r w:rsidRPr="000B521B">
        <w:rPr>
          <w:rStyle w:val="SubtleEmphasis"/>
          <w:i w:val="0"/>
          <w:iCs w:val="0"/>
          <w:color w:val="auto"/>
        </w:rPr>
        <w:tab/>
      </w:r>
    </w:p>
    <w:p w14:paraId="0F4F2107" w14:textId="77777777" w:rsidR="000B521B" w:rsidRPr="000B521B" w:rsidRDefault="000B521B" w:rsidP="000B521B">
      <w:pPr>
        <w:pStyle w:val="ListParagraph"/>
        <w:numPr>
          <w:ilvl w:val="0"/>
          <w:numId w:val="6"/>
        </w:numPr>
        <w:rPr>
          <w:rStyle w:val="SubtleEmphasis"/>
          <w:i w:val="0"/>
          <w:iCs w:val="0"/>
          <w:color w:val="auto"/>
        </w:rPr>
      </w:pPr>
      <w:r w:rsidRPr="000B521B">
        <w:rPr>
          <w:rStyle w:val="SubtleEmphasis"/>
          <w:i w:val="0"/>
          <w:iCs w:val="0"/>
          <w:color w:val="auto"/>
        </w:rPr>
        <w:t>Adult Behavioral Health Services for Community Independence 1915(</w:t>
      </w:r>
      <w:proofErr w:type="spellStart"/>
      <w:r w:rsidRPr="000B521B">
        <w:rPr>
          <w:rStyle w:val="SubtleEmphasis"/>
          <w:i w:val="0"/>
          <w:iCs w:val="0"/>
          <w:color w:val="auto"/>
        </w:rPr>
        <w:t>i</w:t>
      </w:r>
      <w:proofErr w:type="spellEnd"/>
      <w:r w:rsidRPr="000B521B">
        <w:rPr>
          <w:rStyle w:val="SubtleEmphasis"/>
          <w:i w:val="0"/>
          <w:iCs w:val="0"/>
          <w:color w:val="auto"/>
        </w:rPr>
        <w:t xml:space="preserve">) State Plan </w:t>
      </w:r>
    </w:p>
    <w:p w14:paraId="255DB343" w14:textId="77777777" w:rsidR="00451C95" w:rsidRPr="000B521B" w:rsidRDefault="00451C95" w:rsidP="00451C95">
      <w:pPr>
        <w:pStyle w:val="ListParagraph"/>
        <w:numPr>
          <w:ilvl w:val="0"/>
          <w:numId w:val="6"/>
        </w:numPr>
        <w:rPr>
          <w:rStyle w:val="SubtleEmphasis"/>
          <w:i w:val="0"/>
          <w:iCs w:val="0"/>
          <w:color w:val="auto"/>
        </w:rPr>
      </w:pPr>
      <w:r w:rsidRPr="000B521B">
        <w:rPr>
          <w:rStyle w:val="SubtleEmphasis"/>
          <w:i w:val="0"/>
          <w:iCs w:val="0"/>
          <w:color w:val="auto"/>
        </w:rPr>
        <w:t xml:space="preserve">Independent Choices 1915(j) State Plan  </w:t>
      </w:r>
    </w:p>
    <w:p w14:paraId="69B2B7B3" w14:textId="77777777" w:rsidR="000B521B" w:rsidRPr="000B521B" w:rsidRDefault="000B521B" w:rsidP="000B521B">
      <w:pPr>
        <w:pStyle w:val="ListParagraph"/>
        <w:numPr>
          <w:ilvl w:val="0"/>
          <w:numId w:val="6"/>
        </w:numPr>
        <w:rPr>
          <w:rStyle w:val="SubtleEmphasis"/>
          <w:i w:val="0"/>
          <w:iCs w:val="0"/>
          <w:color w:val="auto"/>
        </w:rPr>
      </w:pPr>
      <w:r w:rsidRPr="000B521B">
        <w:rPr>
          <w:rStyle w:val="SubtleEmphasis"/>
          <w:i w:val="0"/>
          <w:iCs w:val="0"/>
          <w:color w:val="auto"/>
        </w:rPr>
        <w:t xml:space="preserve">State Plan personal care </w:t>
      </w:r>
      <w:proofErr w:type="gramStart"/>
      <w:r w:rsidRPr="000B521B">
        <w:rPr>
          <w:rStyle w:val="SubtleEmphasis"/>
          <w:i w:val="0"/>
          <w:iCs w:val="0"/>
          <w:color w:val="auto"/>
        </w:rPr>
        <w:t>services</w:t>
      </w:r>
      <w:proofErr w:type="gramEnd"/>
      <w:r w:rsidRPr="000B521B">
        <w:rPr>
          <w:rStyle w:val="SubtleEmphasis"/>
          <w:i w:val="0"/>
          <w:iCs w:val="0"/>
          <w:color w:val="auto"/>
        </w:rPr>
        <w:t xml:space="preserve"> </w:t>
      </w:r>
    </w:p>
    <w:p w14:paraId="083E2F2D" w14:textId="77777777" w:rsidR="000B521B" w:rsidRPr="000B521B" w:rsidRDefault="000B521B" w:rsidP="000B521B">
      <w:pPr>
        <w:pStyle w:val="ListParagraph"/>
        <w:numPr>
          <w:ilvl w:val="0"/>
          <w:numId w:val="6"/>
        </w:numPr>
        <w:rPr>
          <w:rStyle w:val="SubtleEmphasis"/>
          <w:i w:val="0"/>
          <w:iCs w:val="0"/>
          <w:color w:val="auto"/>
        </w:rPr>
      </w:pPr>
      <w:r w:rsidRPr="000B521B">
        <w:rPr>
          <w:rStyle w:val="SubtleEmphasis"/>
          <w:i w:val="0"/>
          <w:iCs w:val="0"/>
          <w:color w:val="auto"/>
        </w:rPr>
        <w:lastRenderedPageBreak/>
        <w:t xml:space="preserve">State Plan home health </w:t>
      </w:r>
      <w:proofErr w:type="gramStart"/>
      <w:r w:rsidRPr="000B521B">
        <w:rPr>
          <w:rStyle w:val="SubtleEmphasis"/>
          <w:i w:val="0"/>
          <w:iCs w:val="0"/>
          <w:color w:val="auto"/>
        </w:rPr>
        <w:t>services</w:t>
      </w:r>
      <w:proofErr w:type="gramEnd"/>
      <w:r w:rsidRPr="000B521B">
        <w:rPr>
          <w:rStyle w:val="SubtleEmphasis"/>
          <w:i w:val="0"/>
          <w:iCs w:val="0"/>
          <w:color w:val="auto"/>
        </w:rPr>
        <w:t xml:space="preserve"> </w:t>
      </w:r>
    </w:p>
    <w:p w14:paraId="54A484BF" w14:textId="77777777" w:rsidR="000B521B" w:rsidRPr="000B521B" w:rsidRDefault="000B521B" w:rsidP="000B521B">
      <w:pPr>
        <w:pStyle w:val="ListParagraph"/>
        <w:numPr>
          <w:ilvl w:val="0"/>
          <w:numId w:val="6"/>
        </w:numPr>
        <w:rPr>
          <w:rStyle w:val="SubtleEmphasis"/>
          <w:i w:val="0"/>
          <w:iCs w:val="0"/>
          <w:color w:val="auto"/>
        </w:rPr>
      </w:pPr>
      <w:r w:rsidRPr="000B521B">
        <w:rPr>
          <w:rStyle w:val="SubtleEmphasis"/>
          <w:i w:val="0"/>
          <w:iCs w:val="0"/>
          <w:color w:val="auto"/>
        </w:rPr>
        <w:t xml:space="preserve">Program for All-Inclusive Care for the Elderly (PACE) </w:t>
      </w:r>
    </w:p>
    <w:p w14:paraId="269E8FC3" w14:textId="6B4FA8EC" w:rsidR="00C7396E" w:rsidRPr="005F1C04" w:rsidRDefault="00A15403" w:rsidP="00C7396E">
      <w:pPr>
        <w:rPr>
          <w:rStyle w:val="SubtleEmphasis"/>
          <w:i w:val="0"/>
          <w:iCs w:val="0"/>
          <w:color w:val="auto"/>
        </w:rPr>
      </w:pPr>
      <w:r w:rsidRPr="005F1C04">
        <w:rPr>
          <w:rStyle w:val="SubtleEmphasis"/>
          <w:i w:val="0"/>
          <w:iCs w:val="0"/>
          <w:color w:val="auto"/>
        </w:rPr>
        <w:t>Eligible providers must apply for the Program</w:t>
      </w:r>
      <w:r w:rsidR="00920028">
        <w:rPr>
          <w:rStyle w:val="SubtleEmphasis"/>
          <w:i w:val="0"/>
          <w:iCs w:val="0"/>
          <w:color w:val="auto"/>
        </w:rPr>
        <w:t xml:space="preserve"> using an application housed on</w:t>
      </w:r>
      <w:r w:rsidRPr="005F1C04">
        <w:rPr>
          <w:rStyle w:val="SubtleEmphasis"/>
          <w:i w:val="0"/>
          <w:iCs w:val="0"/>
          <w:color w:val="auto"/>
        </w:rPr>
        <w:t xml:space="preserve"> the Arkansas Medicaid website at: </w:t>
      </w:r>
    </w:p>
    <w:p w14:paraId="4A7B7A09" w14:textId="6B4CE7B6" w:rsidR="00A15403" w:rsidRDefault="004F5E2C" w:rsidP="00A15403">
      <w:pPr>
        <w:jc w:val="center"/>
        <w:rPr>
          <w:rStyle w:val="SubtleEmphasis"/>
          <w:i w:val="0"/>
          <w:iCs w:val="0"/>
        </w:rPr>
      </w:pPr>
      <w:hyperlink r:id="rId12" w:history="1">
        <w:r w:rsidR="00C8465E" w:rsidRPr="00496B51">
          <w:rPr>
            <w:rStyle w:val="Hyperlink"/>
          </w:rPr>
          <w:t>https://forms.office.com/Pages/ResponsePage.aspx?id=Q4_kTl3hSk-tVdCZCqxmDn_UFobv2Q1Gj4YxqXbh6XVUQUxISlozWEY4Sk5VQkVHWFlEVlMwSUZaQy4u</w:t>
        </w:r>
      </w:hyperlink>
      <w:r w:rsidR="00C8465E">
        <w:rPr>
          <w:rStyle w:val="SubtleEmphasis"/>
          <w:i w:val="0"/>
          <w:iCs w:val="0"/>
        </w:rPr>
        <w:t xml:space="preserve">  </w:t>
      </w:r>
    </w:p>
    <w:p w14:paraId="4C510323" w14:textId="587C4DD8" w:rsidR="00A15403" w:rsidRPr="00500211" w:rsidRDefault="00A15403" w:rsidP="00A15403">
      <w:pPr>
        <w:shd w:val="clear" w:color="auto" w:fill="4472C4" w:themeFill="accent1"/>
        <w:rPr>
          <w:rStyle w:val="SubtleEmphasis"/>
          <w:b/>
          <w:bCs/>
          <w:i w:val="0"/>
          <w:iCs w:val="0"/>
          <w:color w:val="FFFFFF" w:themeColor="background1"/>
          <w:sz w:val="32"/>
          <w:szCs w:val="32"/>
        </w:rPr>
      </w:pPr>
      <w:r>
        <w:rPr>
          <w:rStyle w:val="SubtleEmphasis"/>
          <w:b/>
          <w:bCs/>
          <w:i w:val="0"/>
          <w:iCs w:val="0"/>
          <w:color w:val="FFFFFF" w:themeColor="background1"/>
          <w:sz w:val="32"/>
          <w:szCs w:val="32"/>
        </w:rPr>
        <w:t xml:space="preserve">Provider </w:t>
      </w:r>
      <w:r w:rsidR="00D9297C">
        <w:rPr>
          <w:rStyle w:val="SubtleEmphasis"/>
          <w:b/>
          <w:bCs/>
          <w:i w:val="0"/>
          <w:iCs w:val="0"/>
          <w:color w:val="FFFFFF" w:themeColor="background1"/>
          <w:sz w:val="32"/>
          <w:szCs w:val="32"/>
        </w:rPr>
        <w:t>Allocation Methodology</w:t>
      </w:r>
      <w:r>
        <w:rPr>
          <w:rStyle w:val="SubtleEmphasis"/>
          <w:b/>
          <w:bCs/>
          <w:i w:val="0"/>
          <w:iCs w:val="0"/>
          <w:color w:val="FFFFFF" w:themeColor="background1"/>
          <w:sz w:val="32"/>
          <w:szCs w:val="32"/>
        </w:rPr>
        <w:t xml:space="preserve"> </w:t>
      </w:r>
    </w:p>
    <w:p w14:paraId="4E5E5756" w14:textId="37A60F78" w:rsidR="00E76F88" w:rsidRPr="005F1C04" w:rsidRDefault="00F11B29" w:rsidP="00E76F88">
      <w:pPr>
        <w:rPr>
          <w:rStyle w:val="SubtleEmphasis"/>
          <w:i w:val="0"/>
          <w:iCs w:val="0"/>
          <w:color w:val="auto"/>
        </w:rPr>
      </w:pPr>
      <w:r w:rsidRPr="005F1C04">
        <w:rPr>
          <w:rStyle w:val="SubtleEmphasis"/>
          <w:i w:val="0"/>
          <w:iCs w:val="0"/>
          <w:color w:val="auto"/>
        </w:rPr>
        <w:t xml:space="preserve">Provider allocations are determined at the tax identification number (TIN) level. </w:t>
      </w:r>
      <w:r w:rsidR="0007571E" w:rsidRPr="005F1C04">
        <w:rPr>
          <w:rStyle w:val="SubtleEmphasis"/>
          <w:i w:val="0"/>
          <w:iCs w:val="0"/>
          <w:color w:val="auto"/>
        </w:rPr>
        <w:t xml:space="preserve">Provider TIN allotments are determined by two factors: </w:t>
      </w:r>
    </w:p>
    <w:p w14:paraId="78AC2FDA" w14:textId="6DABDDD0" w:rsidR="0007571E" w:rsidRPr="005F1C04" w:rsidRDefault="007A5EF3" w:rsidP="0007571E">
      <w:pPr>
        <w:pStyle w:val="ListParagraph"/>
        <w:numPr>
          <w:ilvl w:val="0"/>
          <w:numId w:val="2"/>
        </w:numPr>
        <w:rPr>
          <w:rStyle w:val="SubtleEmphasis"/>
          <w:i w:val="0"/>
          <w:iCs w:val="0"/>
          <w:color w:val="auto"/>
        </w:rPr>
      </w:pPr>
      <w:r w:rsidRPr="005F1C04">
        <w:rPr>
          <w:rStyle w:val="SubtleEmphasis"/>
          <w:i w:val="0"/>
          <w:iCs w:val="0"/>
          <w:color w:val="auto"/>
        </w:rPr>
        <w:t xml:space="preserve">30% is determined by recipient (i.e., the </w:t>
      </w:r>
      <w:r w:rsidR="003315BD">
        <w:rPr>
          <w:rStyle w:val="SubtleEmphasis"/>
          <w:i w:val="0"/>
          <w:iCs w:val="0"/>
          <w:color w:val="auto"/>
        </w:rPr>
        <w:t>beneficiary</w:t>
      </w:r>
      <w:r w:rsidRPr="005F1C04">
        <w:rPr>
          <w:rStyle w:val="SubtleEmphasis"/>
          <w:i w:val="0"/>
          <w:iCs w:val="0"/>
          <w:color w:val="auto"/>
        </w:rPr>
        <w:t xml:space="preserve">) </w:t>
      </w:r>
      <w:proofErr w:type="gramStart"/>
      <w:r w:rsidR="00AF24AB" w:rsidRPr="005F1C04">
        <w:rPr>
          <w:rStyle w:val="SubtleEmphasis"/>
          <w:i w:val="0"/>
          <w:iCs w:val="0"/>
          <w:color w:val="auto"/>
        </w:rPr>
        <w:t>count</w:t>
      </w:r>
      <w:proofErr w:type="gramEnd"/>
      <w:r w:rsidR="00AF24AB" w:rsidRPr="005F1C04">
        <w:rPr>
          <w:rStyle w:val="SubtleEmphasis"/>
          <w:i w:val="0"/>
          <w:iCs w:val="0"/>
          <w:color w:val="auto"/>
        </w:rPr>
        <w:t xml:space="preserve"> </w:t>
      </w:r>
    </w:p>
    <w:p w14:paraId="0B328B41" w14:textId="327817BC" w:rsidR="00AF24AB" w:rsidRPr="005F1C04" w:rsidRDefault="00AF24AB" w:rsidP="0007571E">
      <w:pPr>
        <w:pStyle w:val="ListParagraph"/>
        <w:numPr>
          <w:ilvl w:val="0"/>
          <w:numId w:val="2"/>
        </w:numPr>
        <w:rPr>
          <w:rStyle w:val="SubtleEmphasis"/>
          <w:i w:val="0"/>
          <w:iCs w:val="0"/>
          <w:color w:val="auto"/>
        </w:rPr>
      </w:pPr>
      <w:r w:rsidRPr="005F1C04">
        <w:rPr>
          <w:rStyle w:val="SubtleEmphasis"/>
          <w:i w:val="0"/>
          <w:iCs w:val="0"/>
          <w:color w:val="auto"/>
        </w:rPr>
        <w:t xml:space="preserve">70% is determined by </w:t>
      </w:r>
      <w:r w:rsidR="004B3119">
        <w:rPr>
          <w:rStyle w:val="SubtleEmphasis"/>
          <w:i w:val="0"/>
          <w:iCs w:val="0"/>
          <w:color w:val="auto"/>
        </w:rPr>
        <w:t xml:space="preserve">provider 2021 </w:t>
      </w:r>
      <w:r w:rsidRPr="005F1C04">
        <w:rPr>
          <w:rStyle w:val="SubtleEmphasis"/>
          <w:i w:val="0"/>
          <w:iCs w:val="0"/>
          <w:color w:val="auto"/>
        </w:rPr>
        <w:t xml:space="preserve">program </w:t>
      </w:r>
      <w:proofErr w:type="gramStart"/>
      <w:r w:rsidRPr="005F1C04">
        <w:rPr>
          <w:rStyle w:val="SubtleEmphasis"/>
          <w:i w:val="0"/>
          <w:iCs w:val="0"/>
          <w:color w:val="auto"/>
        </w:rPr>
        <w:t>expenditures</w:t>
      </w:r>
      <w:proofErr w:type="gramEnd"/>
      <w:r w:rsidRPr="005F1C04">
        <w:rPr>
          <w:rStyle w:val="SubtleEmphasis"/>
          <w:i w:val="0"/>
          <w:iCs w:val="0"/>
          <w:color w:val="auto"/>
        </w:rPr>
        <w:t xml:space="preserve"> </w:t>
      </w:r>
    </w:p>
    <w:p w14:paraId="7BF39BFE" w14:textId="33238301" w:rsidR="007B0D8B" w:rsidRPr="005F1C04" w:rsidRDefault="00CC3593" w:rsidP="007B0D8B">
      <w:pPr>
        <w:rPr>
          <w:rStyle w:val="SubtleEmphasis"/>
          <w:i w:val="0"/>
          <w:iCs w:val="0"/>
          <w:color w:val="auto"/>
        </w:rPr>
      </w:pPr>
      <w:r w:rsidRPr="005F1C04">
        <w:rPr>
          <w:rStyle w:val="SubtleEmphasis"/>
          <w:i w:val="0"/>
          <w:iCs w:val="0"/>
          <w:color w:val="auto"/>
        </w:rPr>
        <w:t xml:space="preserve">DHS will share provider-specific allocations </w:t>
      </w:r>
      <w:r w:rsidR="00C354C4" w:rsidRPr="005F1C04">
        <w:rPr>
          <w:rStyle w:val="SubtleEmphasis"/>
          <w:i w:val="0"/>
          <w:iCs w:val="0"/>
          <w:color w:val="auto"/>
        </w:rPr>
        <w:t xml:space="preserve">prior to </w:t>
      </w:r>
      <w:r w:rsidR="002C7F61">
        <w:rPr>
          <w:rStyle w:val="SubtleEmphasis"/>
          <w:i w:val="0"/>
          <w:iCs w:val="0"/>
          <w:color w:val="auto"/>
        </w:rPr>
        <w:t>implementing</w:t>
      </w:r>
      <w:r w:rsidR="005D72ED" w:rsidRPr="005F1C04">
        <w:rPr>
          <w:rStyle w:val="SubtleEmphasis"/>
          <w:i w:val="0"/>
          <w:iCs w:val="0"/>
          <w:color w:val="auto"/>
        </w:rPr>
        <w:t xml:space="preserve"> the Provider Incentive Payment Methodology below. </w:t>
      </w:r>
    </w:p>
    <w:p w14:paraId="3CCFBC5B" w14:textId="6A46E4EF" w:rsidR="00724B17" w:rsidRPr="00500211" w:rsidRDefault="00724B17" w:rsidP="00724B17">
      <w:pPr>
        <w:shd w:val="clear" w:color="auto" w:fill="4472C4" w:themeFill="accent1"/>
        <w:rPr>
          <w:rStyle w:val="SubtleEmphasis"/>
          <w:b/>
          <w:bCs/>
          <w:i w:val="0"/>
          <w:iCs w:val="0"/>
          <w:color w:val="FFFFFF" w:themeColor="background1"/>
          <w:sz w:val="32"/>
          <w:szCs w:val="32"/>
        </w:rPr>
      </w:pPr>
      <w:r>
        <w:rPr>
          <w:rStyle w:val="SubtleEmphasis"/>
          <w:b/>
          <w:bCs/>
          <w:i w:val="0"/>
          <w:iCs w:val="0"/>
          <w:color w:val="FFFFFF" w:themeColor="background1"/>
          <w:sz w:val="32"/>
          <w:szCs w:val="32"/>
        </w:rPr>
        <w:t xml:space="preserve">Provider </w:t>
      </w:r>
      <w:r w:rsidR="00580B47">
        <w:rPr>
          <w:rStyle w:val="SubtleEmphasis"/>
          <w:b/>
          <w:bCs/>
          <w:i w:val="0"/>
          <w:iCs w:val="0"/>
          <w:color w:val="FFFFFF" w:themeColor="background1"/>
          <w:sz w:val="32"/>
          <w:szCs w:val="32"/>
        </w:rPr>
        <w:t>Incentive Payment</w:t>
      </w:r>
      <w:r>
        <w:rPr>
          <w:rStyle w:val="SubtleEmphasis"/>
          <w:b/>
          <w:bCs/>
          <w:i w:val="0"/>
          <w:iCs w:val="0"/>
          <w:color w:val="FFFFFF" w:themeColor="background1"/>
          <w:sz w:val="32"/>
          <w:szCs w:val="32"/>
        </w:rPr>
        <w:t xml:space="preserve"> Methodology </w:t>
      </w:r>
    </w:p>
    <w:p w14:paraId="02B03436" w14:textId="091CD354" w:rsidR="00724B17" w:rsidRPr="005F1C04" w:rsidRDefault="004E6CFD" w:rsidP="00E76F88">
      <w:pPr>
        <w:rPr>
          <w:rStyle w:val="SubtleEmphasis"/>
          <w:i w:val="0"/>
          <w:iCs w:val="0"/>
          <w:color w:val="auto"/>
        </w:rPr>
      </w:pPr>
      <w:r w:rsidRPr="005F1C04">
        <w:rPr>
          <w:rStyle w:val="SubtleEmphasis"/>
          <w:i w:val="0"/>
          <w:iCs w:val="0"/>
          <w:color w:val="auto"/>
        </w:rPr>
        <w:t xml:space="preserve">Using </w:t>
      </w:r>
      <w:r w:rsidR="0063284E" w:rsidRPr="005F1C04">
        <w:rPr>
          <w:rStyle w:val="SubtleEmphasis"/>
          <w:i w:val="0"/>
          <w:iCs w:val="0"/>
          <w:color w:val="auto"/>
        </w:rPr>
        <w:t xml:space="preserve">the DHS-determined allocation amount, providers </w:t>
      </w:r>
      <w:r w:rsidR="007747D5" w:rsidRPr="005F1C04">
        <w:rPr>
          <w:rStyle w:val="SubtleEmphasis"/>
          <w:i w:val="0"/>
          <w:iCs w:val="0"/>
          <w:color w:val="auto"/>
        </w:rPr>
        <w:t xml:space="preserve">must use </w:t>
      </w:r>
      <w:r w:rsidR="00D50F18">
        <w:rPr>
          <w:rStyle w:val="SubtleEmphasis"/>
          <w:i w:val="0"/>
          <w:iCs w:val="0"/>
          <w:color w:val="auto"/>
        </w:rPr>
        <w:t xml:space="preserve">Program </w:t>
      </w:r>
      <w:r w:rsidR="007747D5" w:rsidRPr="005F1C04">
        <w:rPr>
          <w:rStyle w:val="SubtleEmphasis"/>
          <w:i w:val="0"/>
          <w:iCs w:val="0"/>
          <w:color w:val="auto"/>
        </w:rPr>
        <w:t xml:space="preserve">funds </w:t>
      </w:r>
      <w:r w:rsidR="00CC7917" w:rsidRPr="005F1C04">
        <w:rPr>
          <w:rStyle w:val="SubtleEmphasis"/>
          <w:i w:val="0"/>
          <w:iCs w:val="0"/>
          <w:color w:val="auto"/>
        </w:rPr>
        <w:t>to provide recruitment and retention incentives to</w:t>
      </w:r>
      <w:r w:rsidR="007747D5" w:rsidRPr="005F1C04">
        <w:rPr>
          <w:rStyle w:val="SubtleEmphasis"/>
          <w:i w:val="0"/>
          <w:iCs w:val="0"/>
          <w:color w:val="auto"/>
        </w:rPr>
        <w:t xml:space="preserve"> Direct Service Provider (DSP)</w:t>
      </w:r>
      <w:r w:rsidR="00CC7917" w:rsidRPr="005F1C04">
        <w:rPr>
          <w:rStyle w:val="SubtleEmphasis"/>
          <w:i w:val="0"/>
          <w:iCs w:val="0"/>
          <w:color w:val="auto"/>
        </w:rPr>
        <w:t xml:space="preserve"> employees. </w:t>
      </w:r>
      <w:r w:rsidR="00BB23BE" w:rsidRPr="005F1C04">
        <w:rPr>
          <w:rStyle w:val="SubtleEmphasis"/>
          <w:i w:val="0"/>
          <w:iCs w:val="0"/>
          <w:color w:val="auto"/>
        </w:rPr>
        <w:t xml:space="preserve">Providers may </w:t>
      </w:r>
      <w:r w:rsidR="00F467EE" w:rsidRPr="005F1C04">
        <w:rPr>
          <w:rStyle w:val="SubtleEmphasis"/>
          <w:i w:val="0"/>
          <w:iCs w:val="0"/>
          <w:color w:val="auto"/>
        </w:rPr>
        <w:t xml:space="preserve">offer any combination of the </w:t>
      </w:r>
      <w:r w:rsidR="00EA4970" w:rsidRPr="005F1C04">
        <w:rPr>
          <w:rStyle w:val="SubtleEmphasis"/>
          <w:i w:val="0"/>
          <w:iCs w:val="0"/>
          <w:color w:val="auto"/>
        </w:rPr>
        <w:t xml:space="preserve">eligible incentive categories to DSPs below: </w:t>
      </w:r>
    </w:p>
    <w:tbl>
      <w:tblPr>
        <w:tblStyle w:val="ListTable3-Accent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3870"/>
        <w:gridCol w:w="3685"/>
      </w:tblGrid>
      <w:tr w:rsidR="0044729E" w:rsidRPr="00090E3D" w14:paraId="624E194B" w14:textId="77777777" w:rsidTr="004F5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1" w:themeFillShade="80"/>
          </w:tcPr>
          <w:p w14:paraId="00396ABD" w14:textId="77777777" w:rsidR="00DD69A0" w:rsidRPr="00090E3D" w:rsidRDefault="00DD69A0" w:rsidP="00093D49">
            <w:r w:rsidRPr="00090E3D">
              <w:t xml:space="preserve">Category / Subcategory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1" w:themeFillShade="80"/>
            <w:vAlign w:val="center"/>
          </w:tcPr>
          <w:p w14:paraId="35C07541" w14:textId="77777777" w:rsidR="00DD69A0" w:rsidRPr="00090E3D" w:rsidRDefault="00DD69A0" w:rsidP="004F5E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90E3D">
              <w:t>Description</w:t>
            </w:r>
          </w:p>
        </w:tc>
        <w:tc>
          <w:tcPr>
            <w:tcW w:w="3685" w:type="dxa"/>
            <w:tcBorders>
              <w:left w:val="single" w:sz="4" w:space="0" w:color="000000"/>
            </w:tcBorders>
            <w:shd w:val="clear" w:color="auto" w:fill="1F3864" w:themeFill="accent1" w:themeFillShade="80"/>
            <w:vAlign w:val="center"/>
          </w:tcPr>
          <w:p w14:paraId="335F18FB" w14:textId="77777777" w:rsidR="00DD69A0" w:rsidRPr="00090E3D" w:rsidRDefault="00DD69A0" w:rsidP="004F5E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90E3D">
              <w:t>Requirements</w:t>
            </w:r>
          </w:p>
        </w:tc>
      </w:tr>
      <w:tr w:rsidR="00DD69A0" w:rsidRPr="00090E3D" w14:paraId="05A4F24C" w14:textId="77777777" w:rsidTr="00093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AEAAAA" w:themeFill="background2" w:themeFillShade="BF"/>
          </w:tcPr>
          <w:p w14:paraId="692D305B" w14:textId="77777777" w:rsidR="00DD69A0" w:rsidRPr="00090E3D" w:rsidRDefault="00DD69A0" w:rsidP="00093D49">
            <w:r w:rsidRPr="00090E3D">
              <w:t>Recruitment and Retention</w:t>
            </w:r>
          </w:p>
        </w:tc>
      </w:tr>
      <w:tr w:rsidR="00C75CAF" w:rsidRPr="00090E3D" w14:paraId="7C1AFF32" w14:textId="77777777" w:rsidTr="004472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right w:val="none" w:sz="0" w:space="0" w:color="auto"/>
            </w:tcBorders>
          </w:tcPr>
          <w:p w14:paraId="23EFFBEB" w14:textId="5AE49CDA" w:rsidR="00C75CAF" w:rsidRPr="00090E3D" w:rsidRDefault="00C75CAF" w:rsidP="00C75CAF">
            <w:pPr>
              <w:rPr>
                <w:b w:val="0"/>
                <w:bCs w:val="0"/>
              </w:rPr>
            </w:pPr>
            <w:r w:rsidRPr="00090E3D">
              <w:t xml:space="preserve">Hiring </w:t>
            </w:r>
            <w:r>
              <w:t>B</w:t>
            </w:r>
            <w:r w:rsidRPr="00090E3D">
              <w:t>onus</w:t>
            </w:r>
          </w:p>
        </w:tc>
        <w:tc>
          <w:tcPr>
            <w:tcW w:w="3870" w:type="dxa"/>
          </w:tcPr>
          <w:p w14:paraId="48A02396" w14:textId="2EA720BE" w:rsidR="00C75CAF" w:rsidRPr="00C75CAF" w:rsidRDefault="00C75CAF" w:rsidP="00C75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75CAF">
              <w:t xml:space="preserve">New Direct Service Providers (DSPs) hired during the ARPA effective period (i.e., October 1, </w:t>
            </w:r>
            <w:proofErr w:type="gramStart"/>
            <w:r w:rsidRPr="00C75CAF">
              <w:t>2021</w:t>
            </w:r>
            <w:proofErr w:type="gramEnd"/>
            <w:r w:rsidRPr="00C75CAF">
              <w:t xml:space="preserve"> through March 31, 2024) receive a one-time bonus payment after completing a minimum of thirty (30) calendar days of employment.</w:t>
            </w:r>
          </w:p>
        </w:tc>
        <w:tc>
          <w:tcPr>
            <w:tcW w:w="3685" w:type="dxa"/>
          </w:tcPr>
          <w:p w14:paraId="266733F8" w14:textId="77777777" w:rsidR="00C75CAF" w:rsidRDefault="00C75CAF" w:rsidP="00C75CAF">
            <w:pPr>
              <w:pStyle w:val="ListParagraph"/>
              <w:numPr>
                <w:ilvl w:val="0"/>
                <w:numId w:val="3"/>
              </w:numPr>
              <w:spacing w:before="120" w:after="120"/>
              <w:ind w:left="432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One-time </w:t>
            </w:r>
            <w:r w:rsidRPr="00090E3D">
              <w:rPr>
                <w:rFonts w:cstheme="minorHAnsi"/>
              </w:rPr>
              <w:t xml:space="preserve">hiring bonus </w:t>
            </w:r>
            <w:r>
              <w:rPr>
                <w:rFonts w:cstheme="minorHAnsi"/>
              </w:rPr>
              <w:t xml:space="preserve">made to new DSP </w:t>
            </w:r>
            <w:proofErr w:type="gramStart"/>
            <w:r>
              <w:rPr>
                <w:rFonts w:cstheme="minorHAnsi"/>
              </w:rPr>
              <w:t>hire</w:t>
            </w:r>
            <w:proofErr w:type="gramEnd"/>
          </w:p>
          <w:p w14:paraId="42821AB1" w14:textId="7E11C1F7" w:rsidR="00C75CAF" w:rsidRPr="00090E3D" w:rsidRDefault="00C75CAF" w:rsidP="00C75CAF">
            <w:pPr>
              <w:pStyle w:val="ListParagraph"/>
              <w:numPr>
                <w:ilvl w:val="0"/>
                <w:numId w:val="3"/>
              </w:numPr>
              <w:spacing w:before="120" w:after="120"/>
              <w:ind w:left="432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Bonus </w:t>
            </w:r>
            <w:r w:rsidRPr="00090E3D">
              <w:rPr>
                <w:rFonts w:cstheme="minorHAnsi"/>
              </w:rPr>
              <w:t xml:space="preserve">cannot exceed </w:t>
            </w:r>
            <w:proofErr w:type="gramStart"/>
            <w:r w:rsidR="00046598">
              <w:rPr>
                <w:rFonts w:cstheme="minorHAnsi"/>
              </w:rPr>
              <w:t>$</w:t>
            </w:r>
            <w:r w:rsidR="00A43486">
              <w:rPr>
                <w:rFonts w:cstheme="minorHAnsi"/>
              </w:rPr>
              <w:t>1</w:t>
            </w:r>
            <w:r w:rsidR="00046598">
              <w:rPr>
                <w:rFonts w:cstheme="minorHAnsi"/>
              </w:rPr>
              <w:t>,000</w:t>
            </w:r>
            <w:proofErr w:type="gramEnd"/>
            <w:r>
              <w:rPr>
                <w:rFonts w:cstheme="minorHAnsi"/>
              </w:rPr>
              <w:t xml:space="preserve"> </w:t>
            </w:r>
          </w:p>
          <w:p w14:paraId="1446D30B" w14:textId="21A2F286" w:rsidR="00C75CAF" w:rsidRPr="007B3024" w:rsidRDefault="00C75CAF" w:rsidP="007B3024">
            <w:pPr>
              <w:pStyle w:val="ListParagraph"/>
              <w:numPr>
                <w:ilvl w:val="0"/>
                <w:numId w:val="3"/>
              </w:numPr>
              <w:spacing w:before="120" w:after="120"/>
              <w:ind w:left="432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90E3D">
              <w:rPr>
                <w:rFonts w:cstheme="minorHAnsi"/>
              </w:rPr>
              <w:t xml:space="preserve">Provider must certify DSP completed </w:t>
            </w:r>
            <w:r w:rsidR="00C64101">
              <w:rPr>
                <w:rFonts w:cstheme="minorHAnsi"/>
              </w:rPr>
              <w:t>a minimum of</w:t>
            </w:r>
            <w:r w:rsidRPr="0007296D">
              <w:rPr>
                <w:rFonts w:cstheme="minorHAnsi"/>
              </w:rPr>
              <w:t xml:space="preserve"> 30 calendar </w:t>
            </w:r>
            <w:r w:rsidRPr="00090E3D">
              <w:rPr>
                <w:rFonts w:cstheme="minorHAnsi"/>
              </w:rPr>
              <w:t>days of employment</w:t>
            </w:r>
          </w:p>
        </w:tc>
      </w:tr>
      <w:tr w:rsidR="00C75CAF" w:rsidRPr="00090E3D" w14:paraId="56741FD1" w14:textId="77777777" w:rsidTr="00447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BD15D4" w14:textId="488C4F13" w:rsidR="00C75CAF" w:rsidRPr="00090E3D" w:rsidRDefault="00C75CAF" w:rsidP="00C75CAF">
            <w:pPr>
              <w:rPr>
                <w:b w:val="0"/>
                <w:bCs w:val="0"/>
              </w:rPr>
            </w:pPr>
            <w:r w:rsidRPr="00090E3D">
              <w:t xml:space="preserve">Retention </w:t>
            </w:r>
            <w:r>
              <w:t>B</w:t>
            </w:r>
            <w:r w:rsidRPr="00090E3D">
              <w:t>onus</w:t>
            </w:r>
          </w:p>
        </w:tc>
        <w:tc>
          <w:tcPr>
            <w:tcW w:w="3870" w:type="dxa"/>
            <w:tcBorders>
              <w:top w:val="none" w:sz="0" w:space="0" w:color="auto"/>
              <w:bottom w:val="none" w:sz="0" w:space="0" w:color="auto"/>
            </w:tcBorders>
          </w:tcPr>
          <w:p w14:paraId="1AFB38D0" w14:textId="7C469BB5" w:rsidR="00C75CAF" w:rsidRPr="00C75CAF" w:rsidRDefault="00C75CAF" w:rsidP="00C75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75CAF">
              <w:t xml:space="preserve">Bonus payment for DSPs who continuously provide service with the same employer for a minimum of three (3) months. The bonus cannot be paid in a one-time lump sum and must recur on a regular cadence determined by the employer. The recurring bonus can be paid through March 31, </w:t>
            </w:r>
            <w:proofErr w:type="gramStart"/>
            <w:r w:rsidRPr="00C75CAF">
              <w:t>2024</w:t>
            </w:r>
            <w:proofErr w:type="gramEnd"/>
            <w:r w:rsidRPr="00C75CAF">
              <w:t xml:space="preserve"> or until the </w:t>
            </w:r>
            <w:r w:rsidRPr="00C75CAF">
              <w:lastRenderedPageBreak/>
              <w:t xml:space="preserve">provider allocation is depleted. Individual DSPs can earn bonuses up to a Retention Bonus cap. 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</w:tcPr>
          <w:p w14:paraId="05E25DF4" w14:textId="334B056B" w:rsidR="00C75CAF" w:rsidRDefault="00414B37" w:rsidP="00C75CAF">
            <w:pPr>
              <w:pStyle w:val="ListParagraph"/>
              <w:numPr>
                <w:ilvl w:val="0"/>
                <w:numId w:val="3"/>
              </w:numPr>
              <w:spacing w:before="120" w:after="120"/>
              <w:ind w:left="432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Recurring</w:t>
            </w:r>
            <w:r w:rsidR="00C75CAF">
              <w:rPr>
                <w:rFonts w:cstheme="minorHAnsi"/>
              </w:rPr>
              <w:t xml:space="preserve"> retention</w:t>
            </w:r>
            <w:r w:rsidR="00C75CAF" w:rsidRPr="00090E3D">
              <w:rPr>
                <w:rFonts w:cstheme="minorHAnsi"/>
              </w:rPr>
              <w:t xml:space="preserve"> bonus </w:t>
            </w:r>
            <w:r w:rsidR="00C75CAF">
              <w:rPr>
                <w:rFonts w:cstheme="minorHAnsi"/>
              </w:rPr>
              <w:t>made to new and existing</w:t>
            </w:r>
            <w:r w:rsidR="00C75CAF">
              <w:rPr>
                <w:rStyle w:val="FootnoteReference"/>
                <w:rFonts w:cstheme="minorHAnsi"/>
              </w:rPr>
              <w:footnoteReference w:id="2"/>
            </w:r>
            <w:r w:rsidR="00C75CAF">
              <w:rPr>
                <w:rFonts w:cstheme="minorHAnsi"/>
              </w:rPr>
              <w:t xml:space="preserve"> DSP hires</w:t>
            </w:r>
            <w:r w:rsidR="000E2C5C">
              <w:rPr>
                <w:rFonts w:cstheme="minorHAnsi"/>
              </w:rPr>
              <w:t xml:space="preserve"> on a regular cadence determined by the provider (e.g., </w:t>
            </w:r>
            <w:proofErr w:type="gramStart"/>
            <w:r w:rsidR="000E2C5C">
              <w:rPr>
                <w:rFonts w:cstheme="minorHAnsi"/>
              </w:rPr>
              <w:t>monthly</w:t>
            </w:r>
            <w:proofErr w:type="gramEnd"/>
            <w:r w:rsidR="000E2C5C">
              <w:rPr>
                <w:rFonts w:cstheme="minorHAnsi"/>
              </w:rPr>
              <w:t xml:space="preserve"> or quarterly</w:t>
            </w:r>
            <w:r w:rsidR="00941D8A">
              <w:rPr>
                <w:rFonts w:cstheme="minorHAnsi"/>
              </w:rPr>
              <w:t>)</w:t>
            </w:r>
          </w:p>
          <w:p w14:paraId="38BDF289" w14:textId="7D066C05" w:rsidR="00C75CAF" w:rsidRPr="00090E3D" w:rsidRDefault="00C75CAF" w:rsidP="00C75CAF">
            <w:pPr>
              <w:pStyle w:val="ListParagraph"/>
              <w:numPr>
                <w:ilvl w:val="0"/>
                <w:numId w:val="3"/>
              </w:numPr>
              <w:spacing w:before="120" w:after="120"/>
              <w:ind w:left="432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Bonus </w:t>
            </w:r>
            <w:r w:rsidRPr="00090E3D">
              <w:rPr>
                <w:rFonts w:cstheme="minorHAnsi"/>
              </w:rPr>
              <w:t xml:space="preserve">cannot exceed </w:t>
            </w:r>
            <w:r w:rsidR="00414B37">
              <w:rPr>
                <w:rFonts w:cstheme="minorHAnsi"/>
              </w:rPr>
              <w:t>$1</w:t>
            </w:r>
            <w:r w:rsidR="00A43486">
              <w:rPr>
                <w:rFonts w:cstheme="minorHAnsi"/>
              </w:rPr>
              <w:t>5</w:t>
            </w:r>
            <w:r w:rsidR="00414B37">
              <w:rPr>
                <w:rFonts w:cstheme="minorHAnsi"/>
              </w:rPr>
              <w:t xml:space="preserve">,000 </w:t>
            </w:r>
            <w:r w:rsidR="006F5002">
              <w:rPr>
                <w:rFonts w:cstheme="minorHAnsi"/>
              </w:rPr>
              <w:t xml:space="preserve">per DSP over the ARPA effective </w:t>
            </w:r>
            <w:r w:rsidR="006F5002">
              <w:rPr>
                <w:rFonts w:cstheme="minorHAnsi"/>
              </w:rPr>
              <w:lastRenderedPageBreak/>
              <w:t xml:space="preserve">period (i.e., October 1, </w:t>
            </w:r>
            <w:proofErr w:type="gramStart"/>
            <w:r w:rsidR="006F5002">
              <w:rPr>
                <w:rFonts w:cstheme="minorHAnsi"/>
              </w:rPr>
              <w:t>2021</w:t>
            </w:r>
            <w:proofErr w:type="gramEnd"/>
            <w:r w:rsidR="006F5002">
              <w:rPr>
                <w:rFonts w:cstheme="minorHAnsi"/>
              </w:rPr>
              <w:t xml:space="preserve"> through March 31, 2024)</w:t>
            </w:r>
          </w:p>
          <w:p w14:paraId="70C87D19" w14:textId="69AA8C18" w:rsidR="00C75CAF" w:rsidRPr="007B3024" w:rsidRDefault="00C75CAF" w:rsidP="007B3024">
            <w:pPr>
              <w:pStyle w:val="ListParagraph"/>
              <w:numPr>
                <w:ilvl w:val="0"/>
                <w:numId w:val="3"/>
              </w:numPr>
              <w:spacing w:before="120" w:after="120"/>
              <w:ind w:left="432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90E3D">
              <w:rPr>
                <w:rFonts w:cstheme="minorHAnsi"/>
              </w:rPr>
              <w:t xml:space="preserve">Provider must certify DSP </w:t>
            </w:r>
            <w:r w:rsidRPr="00261FF2">
              <w:rPr>
                <w:rFonts w:cstheme="minorHAnsi"/>
              </w:rPr>
              <w:t>completed</w:t>
            </w:r>
            <w:r w:rsidR="0059638A">
              <w:rPr>
                <w:rFonts w:cstheme="minorHAnsi"/>
              </w:rPr>
              <w:t>, at minimum, three (3)</w:t>
            </w:r>
            <w:r w:rsidRPr="00261FF2">
              <w:rPr>
                <w:rFonts w:cstheme="minorHAnsi"/>
              </w:rPr>
              <w:t xml:space="preserve"> </w:t>
            </w:r>
            <w:r w:rsidRPr="00090E3D">
              <w:rPr>
                <w:rFonts w:cstheme="minorHAnsi"/>
              </w:rPr>
              <w:t>months of employment</w:t>
            </w:r>
            <w:r>
              <w:rPr>
                <w:rFonts w:cstheme="minorHAnsi"/>
              </w:rPr>
              <w:t xml:space="preserve"> with the same employer</w:t>
            </w:r>
          </w:p>
        </w:tc>
      </w:tr>
      <w:tr w:rsidR="00C75CAF" w:rsidRPr="00090E3D" w14:paraId="55B8B2D8" w14:textId="77777777" w:rsidTr="004472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right w:val="none" w:sz="0" w:space="0" w:color="auto"/>
            </w:tcBorders>
          </w:tcPr>
          <w:p w14:paraId="3FF578F5" w14:textId="420538DA" w:rsidR="00C75CAF" w:rsidRPr="00090E3D" w:rsidRDefault="00C75CAF" w:rsidP="00C75CAF">
            <w:pPr>
              <w:rPr>
                <w:b w:val="0"/>
                <w:bCs w:val="0"/>
              </w:rPr>
            </w:pPr>
            <w:r w:rsidRPr="00090E3D">
              <w:lastRenderedPageBreak/>
              <w:t xml:space="preserve">Complex Care Retention </w:t>
            </w:r>
            <w:r>
              <w:t>B</w:t>
            </w:r>
            <w:r w:rsidRPr="00090E3D">
              <w:t>onus</w:t>
            </w:r>
          </w:p>
        </w:tc>
        <w:tc>
          <w:tcPr>
            <w:tcW w:w="3870" w:type="dxa"/>
          </w:tcPr>
          <w:p w14:paraId="4662DCFF" w14:textId="77777777" w:rsidR="00C75CAF" w:rsidRPr="00C75CAF" w:rsidRDefault="00C75CAF" w:rsidP="00C75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5CAF">
              <w:t xml:space="preserve">Bonus payment for DSPs who provide care to at least one (1) individual with complex care needs. Bonus payments are provided on a regular and recurring basis determined by the employer. DSPs can earn bonuses up to a Complex Care Retention Bonus </w:t>
            </w:r>
            <w:proofErr w:type="gramStart"/>
            <w:r w:rsidRPr="00C75CAF">
              <w:t>cap.</w:t>
            </w:r>
            <w:proofErr w:type="gramEnd"/>
            <w:r w:rsidRPr="00C75CAF">
              <w:t xml:space="preserve"> Complex case means a history of:</w:t>
            </w:r>
          </w:p>
          <w:p w14:paraId="59C4ECD1" w14:textId="77777777" w:rsidR="00C75CAF" w:rsidRPr="00C75CAF" w:rsidRDefault="00C75CAF" w:rsidP="00C75CAF">
            <w:pPr>
              <w:pStyle w:val="ListParagraph"/>
              <w:numPr>
                <w:ilvl w:val="0"/>
                <w:numId w:val="4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5CAF">
              <w:t>legal involvement</w:t>
            </w:r>
          </w:p>
          <w:p w14:paraId="72BDE105" w14:textId="77777777" w:rsidR="00C75CAF" w:rsidRPr="00C75CAF" w:rsidRDefault="00C75CAF" w:rsidP="00C75CAF">
            <w:pPr>
              <w:pStyle w:val="ListParagraph"/>
              <w:numPr>
                <w:ilvl w:val="0"/>
                <w:numId w:val="4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5CAF">
              <w:t>elopement risk</w:t>
            </w:r>
          </w:p>
          <w:p w14:paraId="796E6783" w14:textId="77777777" w:rsidR="00C75CAF" w:rsidRPr="00C75CAF" w:rsidRDefault="00C75CAF" w:rsidP="00C75CAF">
            <w:pPr>
              <w:pStyle w:val="ListParagraph"/>
              <w:numPr>
                <w:ilvl w:val="0"/>
                <w:numId w:val="4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5CAF">
              <w:t>combative or aggressive behavior</w:t>
            </w:r>
          </w:p>
          <w:p w14:paraId="1B85FF9B" w14:textId="77777777" w:rsidR="00C75CAF" w:rsidRPr="00C75CAF" w:rsidRDefault="00C75CAF" w:rsidP="00C75CAF">
            <w:pPr>
              <w:pStyle w:val="ListParagraph"/>
              <w:numPr>
                <w:ilvl w:val="0"/>
                <w:numId w:val="4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5CAF">
              <w:t>multiple inpatient placements</w:t>
            </w:r>
          </w:p>
          <w:p w14:paraId="7EABB040" w14:textId="77777777" w:rsidR="00C75CAF" w:rsidRPr="00C75CAF" w:rsidRDefault="00C75CAF" w:rsidP="00C75CAF">
            <w:pPr>
              <w:pStyle w:val="ListParagraph"/>
              <w:numPr>
                <w:ilvl w:val="0"/>
                <w:numId w:val="4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5CAF">
              <w:t>DCFS or DYS involvement</w:t>
            </w:r>
          </w:p>
          <w:p w14:paraId="28EA6B1D" w14:textId="52EA59EB" w:rsidR="00C75CAF" w:rsidRPr="00C75CAF" w:rsidRDefault="00C75CAF" w:rsidP="00C75CAF">
            <w:pPr>
              <w:pStyle w:val="ListParagraph"/>
              <w:numPr>
                <w:ilvl w:val="0"/>
                <w:numId w:val="4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75CAF">
              <w:t>Wheelchair- or bed-bound</w:t>
            </w:r>
          </w:p>
        </w:tc>
        <w:tc>
          <w:tcPr>
            <w:tcW w:w="3685" w:type="dxa"/>
          </w:tcPr>
          <w:p w14:paraId="7DF1E910" w14:textId="6275AB25" w:rsidR="00360D94" w:rsidRDefault="00360D94" w:rsidP="00360D94">
            <w:pPr>
              <w:pStyle w:val="ListParagraph"/>
              <w:numPr>
                <w:ilvl w:val="0"/>
                <w:numId w:val="3"/>
              </w:numPr>
              <w:spacing w:before="120" w:after="120"/>
              <w:ind w:left="432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Recurring </w:t>
            </w:r>
            <w:r w:rsidRPr="00090E3D">
              <w:rPr>
                <w:rFonts w:cstheme="minorHAnsi"/>
              </w:rPr>
              <w:t xml:space="preserve">bonus </w:t>
            </w:r>
            <w:r>
              <w:rPr>
                <w:rFonts w:cstheme="minorHAnsi"/>
              </w:rPr>
              <w:t xml:space="preserve">made to on a regular cadence determined by the provider (e.g., </w:t>
            </w:r>
            <w:proofErr w:type="gramStart"/>
            <w:r>
              <w:rPr>
                <w:rFonts w:cstheme="minorHAnsi"/>
              </w:rPr>
              <w:t>monthly</w:t>
            </w:r>
            <w:proofErr w:type="gramEnd"/>
            <w:r>
              <w:rPr>
                <w:rFonts w:cstheme="minorHAnsi"/>
              </w:rPr>
              <w:t xml:space="preserve"> or quarterly)</w:t>
            </w:r>
          </w:p>
          <w:p w14:paraId="2680D633" w14:textId="77777777" w:rsidR="001D478C" w:rsidRDefault="001D478C" w:rsidP="00C75CAF">
            <w:pPr>
              <w:pStyle w:val="ListParagraph"/>
              <w:numPr>
                <w:ilvl w:val="0"/>
                <w:numId w:val="3"/>
              </w:numPr>
              <w:spacing w:before="120" w:after="120"/>
              <w:ind w:left="432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Bonus </w:t>
            </w:r>
            <w:r w:rsidRPr="00090E3D">
              <w:rPr>
                <w:rFonts w:cstheme="minorHAnsi"/>
              </w:rPr>
              <w:t xml:space="preserve">cannot exceed </w:t>
            </w:r>
            <w:r>
              <w:rPr>
                <w:rFonts w:cstheme="minorHAnsi"/>
              </w:rPr>
              <w:t xml:space="preserve">$3,500 per DSP over the ARPA effective period (i.e., October 1, </w:t>
            </w:r>
            <w:proofErr w:type="gramStart"/>
            <w:r>
              <w:rPr>
                <w:rFonts w:cstheme="minorHAnsi"/>
              </w:rPr>
              <w:t>2021</w:t>
            </w:r>
            <w:proofErr w:type="gramEnd"/>
            <w:r>
              <w:rPr>
                <w:rFonts w:cstheme="minorHAnsi"/>
              </w:rPr>
              <w:t xml:space="preserve"> through March 31, 2024)</w:t>
            </w:r>
          </w:p>
          <w:p w14:paraId="0D7ED4DC" w14:textId="755F43EB" w:rsidR="00C75CAF" w:rsidRPr="001D478C" w:rsidRDefault="00DC0798" w:rsidP="001D478C">
            <w:pPr>
              <w:pStyle w:val="ListParagraph"/>
              <w:numPr>
                <w:ilvl w:val="0"/>
                <w:numId w:val="3"/>
              </w:numPr>
              <w:spacing w:before="120" w:after="120"/>
              <w:ind w:left="432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Provider must certify DSP provided care to at least one (1) client with complex care needs. </w:t>
            </w:r>
          </w:p>
        </w:tc>
      </w:tr>
    </w:tbl>
    <w:p w14:paraId="2046B6DE" w14:textId="40125104" w:rsidR="00EA4970" w:rsidRDefault="00EA4970" w:rsidP="00E76F88">
      <w:pPr>
        <w:rPr>
          <w:rStyle w:val="SubtleEmphasis"/>
          <w:i w:val="0"/>
          <w:iCs w:val="0"/>
        </w:rPr>
      </w:pPr>
    </w:p>
    <w:p w14:paraId="3F8F92A0" w14:textId="32D949A8" w:rsidR="00963F0A" w:rsidRDefault="000C2ECA" w:rsidP="00E76F88">
      <w:pPr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 xml:space="preserve">Additionally, the State and providers will work together to ensure the following </w:t>
      </w:r>
      <w:r w:rsidR="00963F0A">
        <w:rPr>
          <w:rStyle w:val="SubtleEmphasis"/>
          <w:i w:val="0"/>
          <w:iCs w:val="0"/>
          <w:color w:val="auto"/>
        </w:rPr>
        <w:t xml:space="preserve">timeline and </w:t>
      </w:r>
      <w:r w:rsidR="00370257">
        <w:rPr>
          <w:rStyle w:val="SubtleEmphasis"/>
          <w:i w:val="0"/>
          <w:iCs w:val="0"/>
          <w:color w:val="auto"/>
        </w:rPr>
        <w:t xml:space="preserve">general </w:t>
      </w:r>
      <w:r w:rsidR="00963F0A">
        <w:rPr>
          <w:rStyle w:val="SubtleEmphasis"/>
          <w:i w:val="0"/>
          <w:iCs w:val="0"/>
          <w:color w:val="auto"/>
        </w:rPr>
        <w:t xml:space="preserve">payment </w:t>
      </w:r>
      <w:r w:rsidR="00370257">
        <w:rPr>
          <w:rStyle w:val="SubtleEmphasis"/>
          <w:i w:val="0"/>
          <w:iCs w:val="0"/>
          <w:color w:val="auto"/>
        </w:rPr>
        <w:t>requirements</w:t>
      </w:r>
      <w:r w:rsidR="00963F0A">
        <w:rPr>
          <w:rStyle w:val="SubtleEmphasis"/>
          <w:i w:val="0"/>
          <w:iCs w:val="0"/>
          <w:color w:val="auto"/>
        </w:rPr>
        <w:t xml:space="preserve"> are adhered to: </w:t>
      </w:r>
    </w:p>
    <w:p w14:paraId="00D70F8A" w14:textId="326FEC5A" w:rsidR="00963F0A" w:rsidRDefault="008D3C33" w:rsidP="00E76F88">
      <w:pPr>
        <w:pStyle w:val="ListParagraph"/>
        <w:numPr>
          <w:ilvl w:val="0"/>
          <w:numId w:val="5"/>
        </w:numPr>
        <w:rPr>
          <w:rStyle w:val="SubtleEmphasis"/>
          <w:i w:val="0"/>
          <w:iCs w:val="0"/>
          <w:color w:val="auto"/>
        </w:rPr>
      </w:pPr>
      <w:r w:rsidRPr="00963F0A">
        <w:rPr>
          <w:rStyle w:val="SubtleEmphasis"/>
          <w:i w:val="0"/>
          <w:iCs w:val="0"/>
          <w:color w:val="auto"/>
        </w:rPr>
        <w:t xml:space="preserve">Providers may provide one or </w:t>
      </w:r>
      <w:r w:rsidR="00A90E82" w:rsidRPr="00963F0A">
        <w:rPr>
          <w:rStyle w:val="SubtleEmphasis"/>
          <w:i w:val="0"/>
          <w:iCs w:val="0"/>
          <w:color w:val="auto"/>
        </w:rPr>
        <w:t>a combination of</w:t>
      </w:r>
      <w:r w:rsidRPr="00963F0A">
        <w:rPr>
          <w:rStyle w:val="SubtleEmphasis"/>
          <w:i w:val="0"/>
          <w:iCs w:val="0"/>
          <w:color w:val="auto"/>
        </w:rPr>
        <w:t xml:space="preserve"> </w:t>
      </w:r>
      <w:r w:rsidR="00D0767C" w:rsidRPr="00963F0A">
        <w:rPr>
          <w:rStyle w:val="SubtleEmphasis"/>
          <w:i w:val="0"/>
          <w:iCs w:val="0"/>
          <w:color w:val="auto"/>
        </w:rPr>
        <w:t>bonuses to eligible employees</w:t>
      </w:r>
      <w:r w:rsidR="002579B2" w:rsidRPr="00963F0A">
        <w:rPr>
          <w:rStyle w:val="SubtleEmphasis"/>
          <w:i w:val="0"/>
          <w:iCs w:val="0"/>
          <w:color w:val="auto"/>
        </w:rPr>
        <w:t xml:space="preserve"> during the Spending Plan timeframe (i.e., </w:t>
      </w:r>
      <w:r w:rsidR="001066FF" w:rsidRPr="00963F0A">
        <w:rPr>
          <w:rStyle w:val="SubtleEmphasis"/>
          <w:i w:val="0"/>
          <w:iCs w:val="0"/>
          <w:color w:val="auto"/>
        </w:rPr>
        <w:t xml:space="preserve">October </w:t>
      </w:r>
      <w:r w:rsidR="0026755E" w:rsidRPr="00963F0A">
        <w:rPr>
          <w:rStyle w:val="SubtleEmphasis"/>
          <w:i w:val="0"/>
          <w:iCs w:val="0"/>
          <w:color w:val="auto"/>
        </w:rPr>
        <w:t xml:space="preserve">1, </w:t>
      </w:r>
      <w:proofErr w:type="gramStart"/>
      <w:r w:rsidR="0026755E" w:rsidRPr="00963F0A">
        <w:rPr>
          <w:rStyle w:val="SubtleEmphasis"/>
          <w:i w:val="0"/>
          <w:iCs w:val="0"/>
          <w:color w:val="auto"/>
        </w:rPr>
        <w:t>2021</w:t>
      </w:r>
      <w:proofErr w:type="gramEnd"/>
      <w:r w:rsidR="0026755E" w:rsidRPr="00963F0A">
        <w:rPr>
          <w:rStyle w:val="SubtleEmphasis"/>
          <w:i w:val="0"/>
          <w:iCs w:val="0"/>
          <w:color w:val="auto"/>
        </w:rPr>
        <w:t xml:space="preserve"> </w:t>
      </w:r>
      <w:r w:rsidR="002579B2" w:rsidRPr="00963F0A">
        <w:rPr>
          <w:rStyle w:val="SubtleEmphasis"/>
          <w:i w:val="0"/>
          <w:iCs w:val="0"/>
          <w:color w:val="auto"/>
        </w:rPr>
        <w:t>through March 31, 2024).</w:t>
      </w:r>
    </w:p>
    <w:p w14:paraId="15696586" w14:textId="7F6436A1" w:rsidR="007B3024" w:rsidRDefault="007B3024" w:rsidP="00E76F88">
      <w:pPr>
        <w:pStyle w:val="ListParagraph"/>
        <w:numPr>
          <w:ilvl w:val="0"/>
          <w:numId w:val="5"/>
        </w:numPr>
        <w:rPr>
          <w:rStyle w:val="SubtleEmphasis"/>
          <w:i w:val="0"/>
          <w:iCs w:val="0"/>
          <w:color w:val="auto"/>
        </w:rPr>
      </w:pPr>
      <w:r>
        <w:rPr>
          <w:rFonts w:cstheme="minorHAnsi"/>
        </w:rPr>
        <w:t>Full-time, part-time and hourly employees are eligible for all bonus</w:t>
      </w:r>
      <w:r w:rsidR="00F07911">
        <w:rPr>
          <w:rFonts w:cstheme="minorHAnsi"/>
        </w:rPr>
        <w:t xml:space="preserve"> </w:t>
      </w:r>
      <w:proofErr w:type="gramStart"/>
      <w:r w:rsidR="00F07911">
        <w:rPr>
          <w:rFonts w:cstheme="minorHAnsi"/>
        </w:rPr>
        <w:t>categories</w:t>
      </w:r>
      <w:proofErr w:type="gramEnd"/>
      <w:r w:rsidR="00F07911">
        <w:rPr>
          <w:rFonts w:cstheme="minorHAnsi"/>
        </w:rPr>
        <w:t xml:space="preserve"> </w:t>
      </w:r>
    </w:p>
    <w:p w14:paraId="529C8674" w14:textId="699366AC" w:rsidR="00AD39CB" w:rsidRDefault="00AD39CB" w:rsidP="00E76F88">
      <w:pPr>
        <w:pStyle w:val="ListParagraph"/>
        <w:numPr>
          <w:ilvl w:val="0"/>
          <w:numId w:val="5"/>
        </w:numPr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Each</w:t>
      </w:r>
      <w:r w:rsidRPr="00AD39CB">
        <w:rPr>
          <w:rStyle w:val="SubtleEmphasis"/>
          <w:i w:val="0"/>
          <w:iCs w:val="0"/>
          <w:color w:val="auto"/>
        </w:rPr>
        <w:t xml:space="preserve"> Category limit </w:t>
      </w:r>
      <w:r>
        <w:rPr>
          <w:rStyle w:val="SubtleEmphasis"/>
          <w:i w:val="0"/>
          <w:iCs w:val="0"/>
          <w:color w:val="auto"/>
        </w:rPr>
        <w:t>is</w:t>
      </w:r>
      <w:r w:rsidRPr="00AD39CB">
        <w:rPr>
          <w:rStyle w:val="SubtleEmphasis"/>
          <w:i w:val="0"/>
          <w:iCs w:val="0"/>
          <w:color w:val="auto"/>
        </w:rPr>
        <w:t xml:space="preserve"> all-inclusive </w:t>
      </w:r>
      <w:r>
        <w:rPr>
          <w:rStyle w:val="SubtleEmphasis"/>
          <w:i w:val="0"/>
          <w:iCs w:val="0"/>
          <w:color w:val="auto"/>
        </w:rPr>
        <w:t xml:space="preserve">of </w:t>
      </w:r>
      <w:r w:rsidRPr="00AD39CB">
        <w:rPr>
          <w:rStyle w:val="SubtleEmphasis"/>
          <w:i w:val="0"/>
          <w:iCs w:val="0"/>
          <w:color w:val="auto"/>
        </w:rPr>
        <w:t>employe</w:t>
      </w:r>
      <w:r>
        <w:rPr>
          <w:rStyle w:val="SubtleEmphasis"/>
          <w:i w:val="0"/>
          <w:iCs w:val="0"/>
          <w:color w:val="auto"/>
        </w:rPr>
        <w:t>e</w:t>
      </w:r>
      <w:r w:rsidRPr="00AD39CB">
        <w:rPr>
          <w:rStyle w:val="SubtleEmphasis"/>
          <w:i w:val="0"/>
          <w:iCs w:val="0"/>
          <w:color w:val="auto"/>
        </w:rPr>
        <w:t xml:space="preserve"> associated fringe</w:t>
      </w:r>
      <w:r w:rsidR="00657820">
        <w:rPr>
          <w:rStyle w:val="SubtleEmphasis"/>
          <w:i w:val="0"/>
          <w:iCs w:val="0"/>
          <w:color w:val="auto"/>
        </w:rPr>
        <w:t xml:space="preserve"> benefits</w:t>
      </w:r>
      <w:r w:rsidRPr="00AD39CB">
        <w:rPr>
          <w:rStyle w:val="SubtleEmphasis"/>
          <w:i w:val="0"/>
          <w:iCs w:val="0"/>
          <w:color w:val="auto"/>
        </w:rPr>
        <w:t xml:space="preserve"> </w:t>
      </w:r>
      <w:r w:rsidR="00664513">
        <w:rPr>
          <w:rStyle w:val="SubtleEmphasis"/>
          <w:i w:val="0"/>
          <w:iCs w:val="0"/>
          <w:color w:val="auto"/>
        </w:rPr>
        <w:t xml:space="preserve">and administrative costs </w:t>
      </w:r>
      <w:r w:rsidRPr="00AD39CB">
        <w:rPr>
          <w:rStyle w:val="SubtleEmphasis"/>
          <w:i w:val="0"/>
          <w:iCs w:val="0"/>
          <w:color w:val="auto"/>
        </w:rPr>
        <w:t>not to exceed 30% of the total amount</w:t>
      </w:r>
      <w:r w:rsidR="00B56CBD">
        <w:rPr>
          <w:rStyle w:val="SubtleEmphasis"/>
          <w:i w:val="0"/>
          <w:iCs w:val="0"/>
          <w:color w:val="auto"/>
        </w:rPr>
        <w:t xml:space="preserve"> (</w:t>
      </w:r>
      <w:r w:rsidR="00631CE1">
        <w:rPr>
          <w:rStyle w:val="SubtleEmphasis"/>
          <w:i w:val="0"/>
          <w:iCs w:val="0"/>
          <w:color w:val="auto"/>
        </w:rPr>
        <w:t>e.g</w:t>
      </w:r>
      <w:r w:rsidR="00B56CBD">
        <w:rPr>
          <w:rStyle w:val="SubtleEmphasis"/>
          <w:i w:val="0"/>
          <w:iCs w:val="0"/>
          <w:color w:val="auto"/>
        </w:rPr>
        <w:t xml:space="preserve">., the </w:t>
      </w:r>
      <w:r w:rsidR="0016763F">
        <w:rPr>
          <w:rStyle w:val="SubtleEmphasis"/>
          <w:i w:val="0"/>
          <w:iCs w:val="0"/>
          <w:color w:val="auto"/>
        </w:rPr>
        <w:t xml:space="preserve">$13,000 Retention Bonus </w:t>
      </w:r>
      <w:r w:rsidR="00052DA0">
        <w:rPr>
          <w:rStyle w:val="SubtleEmphasis"/>
          <w:i w:val="0"/>
          <w:iCs w:val="0"/>
          <w:color w:val="auto"/>
        </w:rPr>
        <w:t xml:space="preserve">hypothetically </w:t>
      </w:r>
      <w:r w:rsidR="0016763F">
        <w:rPr>
          <w:rStyle w:val="SubtleEmphasis"/>
          <w:i w:val="0"/>
          <w:iCs w:val="0"/>
          <w:color w:val="auto"/>
        </w:rPr>
        <w:t xml:space="preserve">accounts for approximately </w:t>
      </w:r>
      <w:r w:rsidR="002C3F27">
        <w:rPr>
          <w:rStyle w:val="SubtleEmphasis"/>
          <w:i w:val="0"/>
          <w:iCs w:val="0"/>
          <w:color w:val="auto"/>
        </w:rPr>
        <w:t>$</w:t>
      </w:r>
      <w:r w:rsidR="006D4CED">
        <w:rPr>
          <w:rStyle w:val="SubtleEmphasis"/>
          <w:i w:val="0"/>
          <w:iCs w:val="0"/>
          <w:color w:val="auto"/>
        </w:rPr>
        <w:t>500</w:t>
      </w:r>
      <w:r w:rsidR="004F1D0C">
        <w:rPr>
          <w:rStyle w:val="SubtleEmphasis"/>
          <w:i w:val="0"/>
          <w:iCs w:val="0"/>
          <w:color w:val="auto"/>
        </w:rPr>
        <w:t xml:space="preserve"> (</w:t>
      </w:r>
      <w:r w:rsidR="006D4CED">
        <w:rPr>
          <w:rStyle w:val="SubtleEmphasis"/>
          <w:i w:val="0"/>
          <w:iCs w:val="0"/>
          <w:color w:val="auto"/>
        </w:rPr>
        <w:t>5</w:t>
      </w:r>
      <w:r w:rsidR="004F1D0C">
        <w:rPr>
          <w:rStyle w:val="SubtleEmphasis"/>
          <w:i w:val="0"/>
          <w:iCs w:val="0"/>
          <w:color w:val="auto"/>
        </w:rPr>
        <w:t>%) in administrative costs, $</w:t>
      </w:r>
      <w:r w:rsidR="00657820">
        <w:rPr>
          <w:rStyle w:val="SubtleEmphasis"/>
          <w:i w:val="0"/>
          <w:iCs w:val="0"/>
          <w:color w:val="auto"/>
        </w:rPr>
        <w:t>2,</w:t>
      </w:r>
      <w:r w:rsidR="006D2BE1">
        <w:rPr>
          <w:rStyle w:val="SubtleEmphasis"/>
          <w:i w:val="0"/>
          <w:iCs w:val="0"/>
          <w:color w:val="auto"/>
        </w:rPr>
        <w:t>500</w:t>
      </w:r>
      <w:r w:rsidR="00657820">
        <w:rPr>
          <w:rStyle w:val="SubtleEmphasis"/>
          <w:i w:val="0"/>
          <w:iCs w:val="0"/>
          <w:color w:val="auto"/>
        </w:rPr>
        <w:t xml:space="preserve"> (</w:t>
      </w:r>
      <w:r w:rsidR="006D2BE1">
        <w:rPr>
          <w:rStyle w:val="SubtleEmphasis"/>
          <w:i w:val="0"/>
          <w:iCs w:val="0"/>
          <w:color w:val="auto"/>
        </w:rPr>
        <w:t>25</w:t>
      </w:r>
      <w:r w:rsidR="00657820">
        <w:rPr>
          <w:rStyle w:val="SubtleEmphasis"/>
          <w:i w:val="0"/>
          <w:iCs w:val="0"/>
          <w:color w:val="auto"/>
        </w:rPr>
        <w:t xml:space="preserve">%) in fringe benefits costs, and </w:t>
      </w:r>
      <w:r w:rsidR="00631CE1">
        <w:rPr>
          <w:rStyle w:val="SubtleEmphasis"/>
          <w:i w:val="0"/>
          <w:iCs w:val="0"/>
          <w:color w:val="auto"/>
        </w:rPr>
        <w:t>$</w:t>
      </w:r>
      <w:r w:rsidR="006D2BE1">
        <w:rPr>
          <w:rStyle w:val="SubtleEmphasis"/>
          <w:i w:val="0"/>
          <w:iCs w:val="0"/>
          <w:color w:val="auto"/>
        </w:rPr>
        <w:t>10,000</w:t>
      </w:r>
      <w:r w:rsidR="00631CE1">
        <w:rPr>
          <w:rStyle w:val="SubtleEmphasis"/>
          <w:i w:val="0"/>
          <w:iCs w:val="0"/>
          <w:color w:val="auto"/>
        </w:rPr>
        <w:t xml:space="preserve"> </w:t>
      </w:r>
      <w:r w:rsidR="002B2B46">
        <w:rPr>
          <w:rStyle w:val="SubtleEmphasis"/>
          <w:i w:val="0"/>
          <w:iCs w:val="0"/>
          <w:color w:val="auto"/>
        </w:rPr>
        <w:t xml:space="preserve">total </w:t>
      </w:r>
      <w:r w:rsidR="00631CE1">
        <w:rPr>
          <w:rStyle w:val="SubtleEmphasis"/>
          <w:i w:val="0"/>
          <w:iCs w:val="0"/>
          <w:color w:val="auto"/>
        </w:rPr>
        <w:t xml:space="preserve">direct </w:t>
      </w:r>
      <w:r w:rsidR="002B2B46">
        <w:rPr>
          <w:rStyle w:val="SubtleEmphasis"/>
          <w:i w:val="0"/>
          <w:iCs w:val="0"/>
          <w:color w:val="auto"/>
        </w:rPr>
        <w:t xml:space="preserve">retention </w:t>
      </w:r>
      <w:r w:rsidR="00631CE1">
        <w:rPr>
          <w:rStyle w:val="SubtleEmphasis"/>
          <w:i w:val="0"/>
          <w:iCs w:val="0"/>
          <w:color w:val="auto"/>
        </w:rPr>
        <w:t>bonus</w:t>
      </w:r>
      <w:r w:rsidR="002B2B46">
        <w:rPr>
          <w:rStyle w:val="SubtleEmphasis"/>
          <w:i w:val="0"/>
          <w:iCs w:val="0"/>
          <w:color w:val="auto"/>
        </w:rPr>
        <w:t>es</w:t>
      </w:r>
      <w:r w:rsidR="00631CE1">
        <w:rPr>
          <w:rStyle w:val="SubtleEmphasis"/>
          <w:i w:val="0"/>
          <w:iCs w:val="0"/>
          <w:color w:val="auto"/>
        </w:rPr>
        <w:t xml:space="preserve"> to the DSP)</w:t>
      </w:r>
      <w:r w:rsidRPr="00AD39CB">
        <w:rPr>
          <w:rStyle w:val="SubtleEmphasis"/>
          <w:i w:val="0"/>
          <w:iCs w:val="0"/>
          <w:color w:val="auto"/>
        </w:rPr>
        <w:t>.</w:t>
      </w:r>
    </w:p>
    <w:p w14:paraId="16B0E866" w14:textId="733A4F80" w:rsidR="00B213E2" w:rsidRPr="00963F0A" w:rsidRDefault="00C31635" w:rsidP="00E76F88">
      <w:pPr>
        <w:pStyle w:val="ListParagraph"/>
        <w:numPr>
          <w:ilvl w:val="0"/>
          <w:numId w:val="5"/>
        </w:numPr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Providers must adhere to reporting requirements established by the State to monitor the Program including but not limiting to</w:t>
      </w:r>
      <w:r w:rsidR="00FE58C0">
        <w:rPr>
          <w:rStyle w:val="SubtleEmphasis"/>
          <w:i w:val="0"/>
          <w:iCs w:val="0"/>
          <w:color w:val="auto"/>
        </w:rPr>
        <w:t xml:space="preserve"> providing </w:t>
      </w:r>
      <w:r w:rsidR="00022F2F">
        <w:rPr>
          <w:rStyle w:val="SubtleEmphasis"/>
          <w:i w:val="0"/>
          <w:iCs w:val="0"/>
          <w:color w:val="auto"/>
        </w:rPr>
        <w:t xml:space="preserve">DSP rosters, payment records and other quantifiable information. </w:t>
      </w:r>
    </w:p>
    <w:p w14:paraId="51197CDB" w14:textId="30165CE5" w:rsidR="00580B47" w:rsidRPr="00580B47" w:rsidRDefault="00580B47" w:rsidP="00580B47">
      <w:pPr>
        <w:shd w:val="clear" w:color="auto" w:fill="4472C4" w:themeFill="accent1"/>
        <w:rPr>
          <w:rStyle w:val="SubtleEmphasis"/>
          <w:b/>
          <w:bCs/>
          <w:i w:val="0"/>
          <w:iCs w:val="0"/>
          <w:color w:val="FFFFFF" w:themeColor="background1"/>
          <w:sz w:val="32"/>
          <w:szCs w:val="32"/>
        </w:rPr>
      </w:pPr>
      <w:r w:rsidRPr="00580B47">
        <w:rPr>
          <w:rStyle w:val="SubtleEmphasis"/>
          <w:b/>
          <w:bCs/>
          <w:i w:val="0"/>
          <w:iCs w:val="0"/>
          <w:color w:val="FFFFFF" w:themeColor="background1"/>
          <w:sz w:val="32"/>
          <w:szCs w:val="32"/>
        </w:rPr>
        <w:t xml:space="preserve">Provider Incentive Payment </w:t>
      </w:r>
      <w:r w:rsidR="00FC3CFA">
        <w:rPr>
          <w:rStyle w:val="SubtleEmphasis"/>
          <w:b/>
          <w:bCs/>
          <w:i w:val="0"/>
          <w:iCs w:val="0"/>
          <w:color w:val="FFFFFF" w:themeColor="background1"/>
          <w:sz w:val="32"/>
          <w:szCs w:val="32"/>
        </w:rPr>
        <w:t>Exceptions</w:t>
      </w:r>
      <w:r w:rsidRPr="00580B47">
        <w:rPr>
          <w:rStyle w:val="SubtleEmphasis"/>
          <w:b/>
          <w:bCs/>
          <w:i w:val="0"/>
          <w:iCs w:val="0"/>
          <w:color w:val="FFFFFF" w:themeColor="background1"/>
          <w:sz w:val="32"/>
          <w:szCs w:val="32"/>
        </w:rPr>
        <w:t xml:space="preserve"> </w:t>
      </w:r>
    </w:p>
    <w:p w14:paraId="7833EB17" w14:textId="74A39E2D" w:rsidR="00300CC9" w:rsidRPr="004F5E2C" w:rsidRDefault="001F5D85" w:rsidP="00580B47">
      <w:r w:rsidRPr="005F1C04">
        <w:rPr>
          <w:rFonts w:cstheme="minorHAnsi"/>
        </w:rPr>
        <w:t xml:space="preserve">DHS will </w:t>
      </w:r>
      <w:r w:rsidRPr="005F1C04">
        <w:rPr>
          <w:rFonts w:cstheme="minorHAnsi"/>
          <w:u w:val="single"/>
        </w:rPr>
        <w:t>not</w:t>
      </w:r>
      <w:r w:rsidRPr="005F1C04">
        <w:rPr>
          <w:rFonts w:cstheme="minorHAnsi"/>
        </w:rPr>
        <w:t xml:space="preserve"> consider exceptions to the </w:t>
      </w:r>
      <w:r w:rsidR="00A06D04" w:rsidRPr="005F1C04">
        <w:rPr>
          <w:rFonts w:cstheme="minorHAnsi"/>
        </w:rPr>
        <w:t>Program methodology and criteria</w:t>
      </w:r>
      <w:r w:rsidR="00CF79D3" w:rsidRPr="005F1C04">
        <w:rPr>
          <w:rFonts w:cstheme="minorHAnsi"/>
        </w:rPr>
        <w:t xml:space="preserve"> at this time. Any questions or comments regarding the Program must be submitted through the </w:t>
      </w:r>
      <w:r w:rsidR="00F07E05" w:rsidRPr="005F1C04">
        <w:rPr>
          <w:rFonts w:cstheme="minorHAnsi"/>
        </w:rPr>
        <w:t>designated inbox at:</w:t>
      </w:r>
      <w:r w:rsidR="004F5E2C">
        <w:t xml:space="preserve"> </w:t>
      </w:r>
      <w:hyperlink r:id="rId13" w:history="1">
        <w:r w:rsidR="004F5E2C" w:rsidRPr="00456199">
          <w:rPr>
            <w:rStyle w:val="Hyperlink"/>
          </w:rPr>
          <w:t>Jessica.Haynes@dhs.arkansas.gov</w:t>
        </w:r>
      </w:hyperlink>
      <w:r w:rsidR="006C0BFC" w:rsidRPr="00BF77BB">
        <w:rPr>
          <w:rFonts w:cstheme="minorHAnsi"/>
        </w:rPr>
        <w:t xml:space="preserve">. </w:t>
      </w:r>
    </w:p>
    <w:p w14:paraId="6995405A" w14:textId="2A414E25" w:rsidR="00300CC9" w:rsidRPr="00171154" w:rsidRDefault="00300CC9" w:rsidP="00171154">
      <w:pPr>
        <w:shd w:val="clear" w:color="auto" w:fill="4472C4" w:themeFill="accent1"/>
        <w:rPr>
          <w:rStyle w:val="SubtleEmphasis"/>
          <w:b/>
          <w:bCs/>
          <w:color w:val="FFFFFF" w:themeColor="background1"/>
          <w:sz w:val="32"/>
          <w:szCs w:val="32"/>
        </w:rPr>
      </w:pPr>
      <w:r w:rsidRPr="00171154">
        <w:rPr>
          <w:rStyle w:val="SubtleEmphasis"/>
          <w:b/>
          <w:bCs/>
          <w:color w:val="FFFFFF" w:themeColor="background1"/>
          <w:sz w:val="32"/>
          <w:szCs w:val="32"/>
        </w:rPr>
        <w:lastRenderedPageBreak/>
        <w:t>Definition of Direct Service Professional</w:t>
      </w:r>
    </w:p>
    <w:p w14:paraId="5D9365D0" w14:textId="77777777" w:rsidR="00F7370E" w:rsidRDefault="00F7370E" w:rsidP="00F7370E">
      <w:r>
        <w:t xml:space="preserve">As part of Arkansas Department of Human Services’ American Rescue Plan Act, Section 9817 </w:t>
      </w:r>
      <w:proofErr w:type="gramStart"/>
      <w:r>
        <w:t>Home</w:t>
      </w:r>
      <w:proofErr w:type="gramEnd"/>
      <w:r>
        <w:t xml:space="preserve"> and Community Based Services (HCBS) Spending Plan, the Department will distribute $112 million to eligible Medicaid providers as part of a Provider Incentive Program that supports workforce recruitment and retention across the State. </w:t>
      </w:r>
      <w:proofErr w:type="gramStart"/>
      <w:r>
        <w:t>The State Medicaid Director’s Letter,</w:t>
      </w:r>
      <w:proofErr w:type="gramEnd"/>
      <w:r>
        <w:t xml:space="preserve"> dated May 15, 2021 (SMD-21-003) provides formal guidance to states on the development and implementation of HCBS Spending Plans and regularly references direct support professionals as a component of state initiatives.</w:t>
      </w:r>
    </w:p>
    <w:p w14:paraId="7AB5BC05" w14:textId="5E6686A3" w:rsidR="00F7370E" w:rsidRDefault="00F7370E" w:rsidP="00F7370E">
      <w:r>
        <w:t xml:space="preserve">The definition below clarifies </w:t>
      </w:r>
      <w:r w:rsidR="000C643F">
        <w:t>the term</w:t>
      </w:r>
      <w:r>
        <w:t xml:space="preserve"> direct support professional (DSP) </w:t>
      </w:r>
      <w:r w:rsidR="000C643F">
        <w:t>related to a provider employee’s</w:t>
      </w:r>
      <w:r>
        <w:t xml:space="preserve"> eligibility for </w:t>
      </w:r>
      <w:r w:rsidR="000C643F">
        <w:t xml:space="preserve">funds distributed through </w:t>
      </w:r>
      <w:r>
        <w:t xml:space="preserve">the Provider </w:t>
      </w:r>
      <w:r w:rsidR="000C643F">
        <w:t>Incentive</w:t>
      </w:r>
      <w:r>
        <w:t xml:space="preserve"> Program. </w:t>
      </w:r>
    </w:p>
    <w:p w14:paraId="1441D554" w14:textId="321ED268" w:rsidR="00171C73" w:rsidRDefault="00171C73" w:rsidP="00171C73">
      <w:r>
        <w:t>The definition for DSP adopted by DHS</w:t>
      </w:r>
      <w:r w:rsidR="0041479A">
        <w:t xml:space="preserve"> was</w:t>
      </w:r>
      <w:r>
        <w:t xml:space="preserve"> provided by the National Direct Service Workforce Resource Center</w:t>
      </w:r>
      <w:r>
        <w:rPr>
          <w:rStyle w:val="FootnoteReference"/>
        </w:rPr>
        <w:footnoteReference w:id="3"/>
      </w:r>
      <w:r>
        <w:t>:</w:t>
      </w:r>
    </w:p>
    <w:p w14:paraId="3CA1C016" w14:textId="77777777" w:rsidR="00171C73" w:rsidRDefault="00171C73" w:rsidP="00171C73">
      <w:r w:rsidRPr="00224F77">
        <w:rPr>
          <w:i/>
          <w:iCs/>
        </w:rPr>
        <w:t>“Direct service workers (DSWs) are individuals who receive monetary compensation to provide support to individuals with a wide range of health and human service needs. They provide hands on support to individuals to assist them in living more fulfilling, independent, and self-directed lives. Supports provided by DSWs vary depending on the type of service setting in which they work.”</w:t>
      </w:r>
    </w:p>
    <w:p w14:paraId="2452CF8B" w14:textId="77777777" w:rsidR="00171C73" w:rsidRDefault="00171C73" w:rsidP="00171C73">
      <w:r>
        <w:t>The document further offers examples of the types of work DSPs may engage in:</w:t>
      </w:r>
    </w:p>
    <w:p w14:paraId="17F0C47E" w14:textId="77777777" w:rsidR="00171C73" w:rsidRDefault="00171C73" w:rsidP="00171C73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</w:pPr>
      <w:r>
        <w:t xml:space="preserve">Assisting with personal-care and hygiene such as bathing, dressing, and </w:t>
      </w:r>
      <w:proofErr w:type="gramStart"/>
      <w:r>
        <w:t>grooming;</w:t>
      </w:r>
      <w:proofErr w:type="gramEnd"/>
    </w:p>
    <w:p w14:paraId="0AAEC3B5" w14:textId="77777777" w:rsidR="00171C73" w:rsidRDefault="00171C73" w:rsidP="00171C73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</w:pPr>
      <w:r>
        <w:t xml:space="preserve">Assisting with home skills such as meal planning and preparation, housekeeping, and </w:t>
      </w:r>
      <w:proofErr w:type="gramStart"/>
      <w:r>
        <w:t>budgeting;</w:t>
      </w:r>
      <w:proofErr w:type="gramEnd"/>
    </w:p>
    <w:p w14:paraId="6D96B77D" w14:textId="77777777" w:rsidR="00171C73" w:rsidRDefault="00171C73" w:rsidP="00171C73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</w:pPr>
      <w:r>
        <w:t xml:space="preserve">Ensuring health and </w:t>
      </w:r>
      <w:proofErr w:type="gramStart"/>
      <w:r>
        <w:t>safety;</w:t>
      </w:r>
      <w:proofErr w:type="gramEnd"/>
    </w:p>
    <w:p w14:paraId="4A0A3437" w14:textId="77777777" w:rsidR="00171C73" w:rsidRDefault="00171C73" w:rsidP="00171C73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</w:pPr>
      <w:r>
        <w:t xml:space="preserve">Monitoring </w:t>
      </w:r>
      <w:proofErr w:type="gramStart"/>
      <w:r>
        <w:t>health;</w:t>
      </w:r>
      <w:proofErr w:type="gramEnd"/>
    </w:p>
    <w:p w14:paraId="0983FA84" w14:textId="4E2F33B9" w:rsidR="00171C73" w:rsidRDefault="00171C73" w:rsidP="00171C73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</w:pPr>
      <w:r>
        <w:t>Providing health-related tasks such as medication management and administration, ileostomy,</w:t>
      </w:r>
      <w:r w:rsidR="0041479A">
        <w:t xml:space="preserve"> </w:t>
      </w:r>
      <w:r>
        <w:t>colostomy, and gastrostomy care</w:t>
      </w:r>
      <w:proofErr w:type="gramStart"/>
      <w:r>
        <w:t>);</w:t>
      </w:r>
      <w:proofErr w:type="gramEnd"/>
    </w:p>
    <w:p w14:paraId="272E5812" w14:textId="77777777" w:rsidR="00171C73" w:rsidRDefault="00171C73" w:rsidP="00171C73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</w:pPr>
      <w:r>
        <w:t xml:space="preserve">Providing </w:t>
      </w:r>
      <w:proofErr w:type="gramStart"/>
      <w:r>
        <w:t>transportation;</w:t>
      </w:r>
      <w:proofErr w:type="gramEnd"/>
    </w:p>
    <w:p w14:paraId="37F57445" w14:textId="77777777" w:rsidR="00171C73" w:rsidRDefault="00171C73" w:rsidP="00171C73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</w:pPr>
      <w:r>
        <w:t xml:space="preserve">Providing employment </w:t>
      </w:r>
      <w:proofErr w:type="gramStart"/>
      <w:r>
        <w:t>supports;</w:t>
      </w:r>
      <w:proofErr w:type="gramEnd"/>
    </w:p>
    <w:p w14:paraId="5E7A4AB7" w14:textId="77777777" w:rsidR="00171C73" w:rsidRDefault="00171C73" w:rsidP="00171C73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</w:pPr>
      <w:r>
        <w:t xml:space="preserve">Implementing positive behavior support, crisis </w:t>
      </w:r>
      <w:proofErr w:type="gramStart"/>
      <w:r>
        <w:t>intervention;</w:t>
      </w:r>
      <w:proofErr w:type="gramEnd"/>
    </w:p>
    <w:p w14:paraId="14912B8B" w14:textId="77777777" w:rsidR="00171C73" w:rsidRDefault="00171C73" w:rsidP="00171C73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</w:pPr>
      <w:r>
        <w:t xml:space="preserve">Implementing recreation activities and supporting community </w:t>
      </w:r>
      <w:proofErr w:type="gramStart"/>
      <w:r>
        <w:t>involvement;</w:t>
      </w:r>
      <w:proofErr w:type="gramEnd"/>
    </w:p>
    <w:p w14:paraId="20403DE7" w14:textId="77777777" w:rsidR="00171C73" w:rsidRDefault="00171C73" w:rsidP="00171C73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</w:pPr>
      <w:r>
        <w:t xml:space="preserve">Conducting assessments and community </w:t>
      </w:r>
      <w:proofErr w:type="gramStart"/>
      <w:r>
        <w:t>referrals;</w:t>
      </w:r>
      <w:proofErr w:type="gramEnd"/>
    </w:p>
    <w:p w14:paraId="5B93888E" w14:textId="77777777" w:rsidR="00171C73" w:rsidRDefault="00171C73" w:rsidP="00171C73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</w:pPr>
      <w:r>
        <w:t>Teaching new skills (e.g., independent living, self-advocacy</w:t>
      </w:r>
      <w:proofErr w:type="gramStart"/>
      <w:r>
        <w:t>);</w:t>
      </w:r>
      <w:proofErr w:type="gramEnd"/>
    </w:p>
    <w:p w14:paraId="45EA8DEC" w14:textId="77777777" w:rsidR="00171C73" w:rsidRDefault="00171C73" w:rsidP="00171C73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</w:pPr>
      <w:r>
        <w:t xml:space="preserve">Supporting self-determination and self-direction of people </w:t>
      </w:r>
      <w:proofErr w:type="gramStart"/>
      <w:r>
        <w:t>served;</w:t>
      </w:r>
      <w:proofErr w:type="gramEnd"/>
    </w:p>
    <w:p w14:paraId="52536482" w14:textId="77777777" w:rsidR="00171C73" w:rsidRDefault="00171C73" w:rsidP="00171C73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</w:pPr>
      <w:r>
        <w:t xml:space="preserve">Working with family </w:t>
      </w:r>
      <w:proofErr w:type="gramStart"/>
      <w:r>
        <w:t>members;</w:t>
      </w:r>
      <w:proofErr w:type="gramEnd"/>
    </w:p>
    <w:p w14:paraId="6443BDE5" w14:textId="77777777" w:rsidR="00171C73" w:rsidRDefault="00171C73" w:rsidP="00171C73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</w:pPr>
      <w:r>
        <w:lastRenderedPageBreak/>
        <w:t>Providing opportunities for community integration; and</w:t>
      </w:r>
    </w:p>
    <w:p w14:paraId="15D8DEE6" w14:textId="77777777" w:rsidR="00171C73" w:rsidRDefault="00171C73" w:rsidP="00171C73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</w:pPr>
      <w:r>
        <w:t xml:space="preserve">Providing companionship and support in </w:t>
      </w:r>
      <w:proofErr w:type="gramStart"/>
      <w:r>
        <w:t>developing, and</w:t>
      </w:r>
      <w:proofErr w:type="gramEnd"/>
      <w:r>
        <w:t xml:space="preserve"> maintaining social relationships.</w:t>
      </w:r>
    </w:p>
    <w:p w14:paraId="2989EB6C" w14:textId="77777777" w:rsidR="00171154" w:rsidRDefault="00171154" w:rsidP="00580B47">
      <w:pPr>
        <w:rPr>
          <w:rFonts w:cstheme="minorHAnsi"/>
        </w:rPr>
      </w:pPr>
    </w:p>
    <w:p w14:paraId="03BE2C00" w14:textId="77777777" w:rsidR="00171154" w:rsidRPr="00BF77BB" w:rsidRDefault="00171154" w:rsidP="00580B47">
      <w:pPr>
        <w:rPr>
          <w:rFonts w:cstheme="minorHAnsi"/>
        </w:rPr>
      </w:pPr>
    </w:p>
    <w:sectPr w:rsidR="00171154" w:rsidRPr="00BF77BB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13B6C" w14:textId="77777777" w:rsidR="00CB4AFE" w:rsidRDefault="00CB4AFE" w:rsidP="0089455F">
      <w:pPr>
        <w:spacing w:after="0" w:line="240" w:lineRule="auto"/>
      </w:pPr>
      <w:r>
        <w:separator/>
      </w:r>
    </w:p>
  </w:endnote>
  <w:endnote w:type="continuationSeparator" w:id="0">
    <w:p w14:paraId="3A9484E7" w14:textId="77777777" w:rsidR="00CB4AFE" w:rsidRDefault="00CB4AFE" w:rsidP="0089455F">
      <w:pPr>
        <w:spacing w:after="0" w:line="240" w:lineRule="auto"/>
      </w:pPr>
      <w:r>
        <w:continuationSeparator/>
      </w:r>
    </w:p>
  </w:endnote>
  <w:endnote w:type="continuationNotice" w:id="1">
    <w:p w14:paraId="26AEC853" w14:textId="77777777" w:rsidR="00CB4AFE" w:rsidRDefault="00CB4A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8858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314F9B" w14:textId="460AC72D" w:rsidR="009023AD" w:rsidRDefault="009023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42333A" w14:textId="77777777" w:rsidR="009023AD" w:rsidRDefault="00902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70471" w14:textId="77777777" w:rsidR="00CB4AFE" w:rsidRDefault="00CB4AFE" w:rsidP="0089455F">
      <w:pPr>
        <w:spacing w:after="0" w:line="240" w:lineRule="auto"/>
      </w:pPr>
      <w:r>
        <w:separator/>
      </w:r>
    </w:p>
  </w:footnote>
  <w:footnote w:type="continuationSeparator" w:id="0">
    <w:p w14:paraId="764EEBBB" w14:textId="77777777" w:rsidR="00CB4AFE" w:rsidRDefault="00CB4AFE" w:rsidP="0089455F">
      <w:pPr>
        <w:spacing w:after="0" w:line="240" w:lineRule="auto"/>
      </w:pPr>
      <w:r>
        <w:continuationSeparator/>
      </w:r>
    </w:p>
  </w:footnote>
  <w:footnote w:type="continuationNotice" w:id="1">
    <w:p w14:paraId="0A72B6FD" w14:textId="77777777" w:rsidR="00CB4AFE" w:rsidRDefault="00CB4AFE">
      <w:pPr>
        <w:spacing w:after="0" w:line="240" w:lineRule="auto"/>
      </w:pPr>
    </w:p>
  </w:footnote>
  <w:footnote w:id="2">
    <w:p w14:paraId="6CEA80FC" w14:textId="5A05CCC9" w:rsidR="00C75CAF" w:rsidRDefault="00C75CAF">
      <w:pPr>
        <w:pStyle w:val="FootnoteText"/>
      </w:pPr>
      <w:r>
        <w:rPr>
          <w:rStyle w:val="FootnoteReference"/>
        </w:rPr>
        <w:footnoteRef/>
      </w:r>
      <w:r>
        <w:t xml:space="preserve"> Existing employees are eligible for retention bonuses and the continuous employment timeframe starts on October 1, 2021. </w:t>
      </w:r>
    </w:p>
  </w:footnote>
  <w:footnote w:id="3">
    <w:p w14:paraId="3BEBD5D4" w14:textId="77777777" w:rsidR="00171C73" w:rsidRDefault="00171C73" w:rsidP="00171C73">
      <w:pPr>
        <w:pStyle w:val="FootnoteText"/>
      </w:pPr>
      <w:r>
        <w:rPr>
          <w:rStyle w:val="FootnoteReference"/>
        </w:rPr>
        <w:footnoteRef/>
      </w:r>
      <w:r>
        <w:t xml:space="preserve"> Source: </w:t>
      </w:r>
      <w:r w:rsidRPr="00BD36C2">
        <w:t>A synthesis of direct service workforce demographics and challenges across intellectual/ developmental disabilities, aging, physical disabilities, and behavioral health</w:t>
      </w:r>
      <w:r>
        <w:t>, November 2008 (</w:t>
      </w:r>
      <w:hyperlink r:id="rId1" w:history="1">
        <w:r w:rsidRPr="007A5498">
          <w:rPr>
            <w:rStyle w:val="Hyperlink"/>
          </w:rPr>
          <w:t>hyperlink</w:t>
        </w:r>
      </w:hyperlink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964D" w14:textId="10C8C71E" w:rsidR="0089455F" w:rsidRPr="00FB4451" w:rsidRDefault="00C44118" w:rsidP="00364765">
    <w:pPr>
      <w:pStyle w:val="Header"/>
      <w:tabs>
        <w:tab w:val="clear" w:pos="4680"/>
        <w:tab w:val="clear" w:pos="9360"/>
      </w:tabs>
      <w:spacing w:before="60" w:after="60"/>
      <w:jc w:val="center"/>
      <w:rPr>
        <w:b/>
        <w:bCs/>
      </w:rPr>
    </w:pPr>
    <w:r w:rsidRPr="00FB4451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1A247785" wp14:editId="6AB012C7">
          <wp:simplePos x="0" y="0"/>
          <wp:positionH relativeFrom="column">
            <wp:posOffset>4812030</wp:posOffset>
          </wp:positionH>
          <wp:positionV relativeFrom="paragraph">
            <wp:posOffset>-398145</wp:posOffset>
          </wp:positionV>
          <wp:extent cx="731520" cy="731520"/>
          <wp:effectExtent l="0" t="0" r="0" b="0"/>
          <wp:wrapNone/>
          <wp:docPr id="1" name="Picture 1" descr="Arkansas Department of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kansas Department of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8241" behindDoc="1" locked="0" layoutInCell="1" allowOverlap="1" wp14:anchorId="3A69121D" wp14:editId="7FCD5719">
          <wp:simplePos x="0" y="0"/>
          <wp:positionH relativeFrom="column">
            <wp:posOffset>5668010</wp:posOffset>
          </wp:positionH>
          <wp:positionV relativeFrom="paragraph">
            <wp:posOffset>-264795</wp:posOffset>
          </wp:positionV>
          <wp:extent cx="1005840" cy="463754"/>
          <wp:effectExtent l="0" t="0" r="381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463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6146" w:rsidRPr="00FB4451">
      <w:rPr>
        <w:b/>
        <w:bCs/>
      </w:rPr>
      <w:t>Arkansas Department of Human Services</w:t>
    </w:r>
  </w:p>
  <w:p w14:paraId="418C8B82" w14:textId="418E783F" w:rsidR="002C6146" w:rsidRPr="00FB4451" w:rsidRDefault="002C6146" w:rsidP="00364765">
    <w:pPr>
      <w:pStyle w:val="Header"/>
      <w:tabs>
        <w:tab w:val="clear" w:pos="4680"/>
        <w:tab w:val="clear" w:pos="9360"/>
      </w:tabs>
      <w:spacing w:before="60" w:after="60"/>
      <w:jc w:val="center"/>
      <w:rPr>
        <w:b/>
        <w:bCs/>
      </w:rPr>
    </w:pPr>
    <w:r w:rsidRPr="00FB4451">
      <w:rPr>
        <w:b/>
        <w:bCs/>
      </w:rPr>
      <w:t xml:space="preserve">American Rescue Plan Act </w:t>
    </w:r>
    <w:r w:rsidR="00402FE7">
      <w:rPr>
        <w:b/>
        <w:bCs/>
      </w:rPr>
      <w:t xml:space="preserve">(ARPA) </w:t>
    </w:r>
    <w:r w:rsidR="00FB4451" w:rsidRPr="00FB4451">
      <w:rPr>
        <w:b/>
        <w:bCs/>
      </w:rPr>
      <w:t>Section 9817</w:t>
    </w:r>
  </w:p>
  <w:p w14:paraId="6E3D62C2" w14:textId="526C7AC2" w:rsidR="00FB4451" w:rsidRDefault="001932D9" w:rsidP="00364765">
    <w:pPr>
      <w:pStyle w:val="Header"/>
      <w:tabs>
        <w:tab w:val="clear" w:pos="4680"/>
        <w:tab w:val="clear" w:pos="9360"/>
      </w:tabs>
      <w:spacing w:before="60" w:after="60"/>
      <w:jc w:val="center"/>
      <w:rPr>
        <w:b/>
        <w:bCs/>
      </w:rPr>
    </w:pPr>
    <w:r>
      <w:rPr>
        <w:b/>
        <w:bCs/>
      </w:rPr>
      <w:t xml:space="preserve">Workforce Stabilization </w:t>
    </w:r>
    <w:r w:rsidR="00FB4451" w:rsidRPr="00FB4451">
      <w:rPr>
        <w:b/>
        <w:bCs/>
      </w:rPr>
      <w:t>Provider Incentive Program Operations Plan</w:t>
    </w:r>
  </w:p>
  <w:p w14:paraId="0888C902" w14:textId="38657474" w:rsidR="00364765" w:rsidRPr="00364765" w:rsidRDefault="00364765" w:rsidP="00364765">
    <w:pPr>
      <w:pStyle w:val="Header"/>
      <w:tabs>
        <w:tab w:val="clear" w:pos="4680"/>
        <w:tab w:val="clear" w:pos="9360"/>
      </w:tabs>
      <w:spacing w:before="60" w:after="60"/>
      <w:jc w:val="center"/>
      <w:rPr>
        <w:i/>
        <w:iCs/>
      </w:rPr>
    </w:pPr>
    <w:r w:rsidRPr="00364765">
      <w:rPr>
        <w:i/>
        <w:iCs/>
      </w:rPr>
      <w:t xml:space="preserve">Update: </w:t>
    </w:r>
    <w:r w:rsidR="004F5E2C">
      <w:rPr>
        <w:i/>
        <w:iCs/>
      </w:rPr>
      <w:t>October 8,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866"/>
    <w:multiLevelType w:val="hybridMultilevel"/>
    <w:tmpl w:val="2736B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F095F"/>
    <w:multiLevelType w:val="hybridMultilevel"/>
    <w:tmpl w:val="5030B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E15F2"/>
    <w:multiLevelType w:val="hybridMultilevel"/>
    <w:tmpl w:val="2A54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A7F12"/>
    <w:multiLevelType w:val="hybridMultilevel"/>
    <w:tmpl w:val="C4FC8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6531E"/>
    <w:multiLevelType w:val="hybridMultilevel"/>
    <w:tmpl w:val="F4C2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633D9"/>
    <w:multiLevelType w:val="hybridMultilevel"/>
    <w:tmpl w:val="0C3E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361A6"/>
    <w:multiLevelType w:val="hybridMultilevel"/>
    <w:tmpl w:val="D6181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121942">
    <w:abstractNumId w:val="0"/>
  </w:num>
  <w:num w:numId="2" w16cid:durableId="1600748366">
    <w:abstractNumId w:val="3"/>
  </w:num>
  <w:num w:numId="3" w16cid:durableId="368535796">
    <w:abstractNumId w:val="2"/>
  </w:num>
  <w:num w:numId="4" w16cid:durableId="1122263950">
    <w:abstractNumId w:val="5"/>
  </w:num>
  <w:num w:numId="5" w16cid:durableId="258098672">
    <w:abstractNumId w:val="1"/>
  </w:num>
  <w:num w:numId="6" w16cid:durableId="885331149">
    <w:abstractNumId w:val="6"/>
  </w:num>
  <w:num w:numId="7" w16cid:durableId="312416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E1"/>
    <w:rsid w:val="00000709"/>
    <w:rsid w:val="00002D40"/>
    <w:rsid w:val="000074A7"/>
    <w:rsid w:val="0000772C"/>
    <w:rsid w:val="000111B8"/>
    <w:rsid w:val="000116DA"/>
    <w:rsid w:val="00022F2F"/>
    <w:rsid w:val="00023B1A"/>
    <w:rsid w:val="00034FBA"/>
    <w:rsid w:val="00042BF8"/>
    <w:rsid w:val="00046598"/>
    <w:rsid w:val="00047370"/>
    <w:rsid w:val="00052DA0"/>
    <w:rsid w:val="00064A7E"/>
    <w:rsid w:val="000650DC"/>
    <w:rsid w:val="00067FD3"/>
    <w:rsid w:val="0007296D"/>
    <w:rsid w:val="0007571E"/>
    <w:rsid w:val="00090E3D"/>
    <w:rsid w:val="00092E94"/>
    <w:rsid w:val="00093D49"/>
    <w:rsid w:val="000B521B"/>
    <w:rsid w:val="000C2ECA"/>
    <w:rsid w:val="000C4E65"/>
    <w:rsid w:val="000C643F"/>
    <w:rsid w:val="000E2C5C"/>
    <w:rsid w:val="000E5916"/>
    <w:rsid w:val="000F4A26"/>
    <w:rsid w:val="001066FF"/>
    <w:rsid w:val="0011230E"/>
    <w:rsid w:val="001160D6"/>
    <w:rsid w:val="00123DEA"/>
    <w:rsid w:val="00135274"/>
    <w:rsid w:val="001375BB"/>
    <w:rsid w:val="0014450E"/>
    <w:rsid w:val="001525E8"/>
    <w:rsid w:val="00153B6B"/>
    <w:rsid w:val="0015597F"/>
    <w:rsid w:val="00160B0C"/>
    <w:rsid w:val="00161807"/>
    <w:rsid w:val="0016763F"/>
    <w:rsid w:val="001677D4"/>
    <w:rsid w:val="00171154"/>
    <w:rsid w:val="00171C73"/>
    <w:rsid w:val="00172A6E"/>
    <w:rsid w:val="00172B95"/>
    <w:rsid w:val="00175828"/>
    <w:rsid w:val="00181321"/>
    <w:rsid w:val="00184BAE"/>
    <w:rsid w:val="001932D9"/>
    <w:rsid w:val="00193EF2"/>
    <w:rsid w:val="001A3389"/>
    <w:rsid w:val="001B1E40"/>
    <w:rsid w:val="001B73BA"/>
    <w:rsid w:val="001B7BF7"/>
    <w:rsid w:val="001D478C"/>
    <w:rsid w:val="001F5D85"/>
    <w:rsid w:val="00200989"/>
    <w:rsid w:val="00204F58"/>
    <w:rsid w:val="00226288"/>
    <w:rsid w:val="00232948"/>
    <w:rsid w:val="002361A8"/>
    <w:rsid w:val="00255B4E"/>
    <w:rsid w:val="002579B2"/>
    <w:rsid w:val="00261FF2"/>
    <w:rsid w:val="0026755E"/>
    <w:rsid w:val="00273F9D"/>
    <w:rsid w:val="00284F05"/>
    <w:rsid w:val="002953AE"/>
    <w:rsid w:val="002A076E"/>
    <w:rsid w:val="002A21D0"/>
    <w:rsid w:val="002B1E23"/>
    <w:rsid w:val="002B2B46"/>
    <w:rsid w:val="002C3F27"/>
    <w:rsid w:val="002C6146"/>
    <w:rsid w:val="002C7F61"/>
    <w:rsid w:val="002D72C1"/>
    <w:rsid w:val="00300CC9"/>
    <w:rsid w:val="00315D93"/>
    <w:rsid w:val="0032555F"/>
    <w:rsid w:val="003315BD"/>
    <w:rsid w:val="003340BE"/>
    <w:rsid w:val="00353BA8"/>
    <w:rsid w:val="003557AD"/>
    <w:rsid w:val="00357D61"/>
    <w:rsid w:val="00360D94"/>
    <w:rsid w:val="00364765"/>
    <w:rsid w:val="00370257"/>
    <w:rsid w:val="00371AE1"/>
    <w:rsid w:val="00377F7C"/>
    <w:rsid w:val="003A2AF7"/>
    <w:rsid w:val="003A4C21"/>
    <w:rsid w:val="003C36D7"/>
    <w:rsid w:val="003C425B"/>
    <w:rsid w:val="0040026C"/>
    <w:rsid w:val="00402FE7"/>
    <w:rsid w:val="00406EF9"/>
    <w:rsid w:val="0041479A"/>
    <w:rsid w:val="00414B37"/>
    <w:rsid w:val="0042042B"/>
    <w:rsid w:val="0044729E"/>
    <w:rsid w:val="00451C95"/>
    <w:rsid w:val="00463F92"/>
    <w:rsid w:val="00472105"/>
    <w:rsid w:val="00490ACF"/>
    <w:rsid w:val="004B2EB7"/>
    <w:rsid w:val="004B3119"/>
    <w:rsid w:val="004C4CF2"/>
    <w:rsid w:val="004C6119"/>
    <w:rsid w:val="004C7E4E"/>
    <w:rsid w:val="004E6CFD"/>
    <w:rsid w:val="004F12BA"/>
    <w:rsid w:val="004F1D0C"/>
    <w:rsid w:val="004F2679"/>
    <w:rsid w:val="004F5E2C"/>
    <w:rsid w:val="004F6765"/>
    <w:rsid w:val="00500211"/>
    <w:rsid w:val="00502D52"/>
    <w:rsid w:val="005279AE"/>
    <w:rsid w:val="0054370D"/>
    <w:rsid w:val="00571646"/>
    <w:rsid w:val="005719E3"/>
    <w:rsid w:val="00580B47"/>
    <w:rsid w:val="0059638A"/>
    <w:rsid w:val="005C325B"/>
    <w:rsid w:val="005C3D68"/>
    <w:rsid w:val="005D72ED"/>
    <w:rsid w:val="005E00CB"/>
    <w:rsid w:val="005E07DF"/>
    <w:rsid w:val="005E2CDD"/>
    <w:rsid w:val="005F1C04"/>
    <w:rsid w:val="005F6169"/>
    <w:rsid w:val="00606EE4"/>
    <w:rsid w:val="00612A12"/>
    <w:rsid w:val="00625E5D"/>
    <w:rsid w:val="00631CE1"/>
    <w:rsid w:val="0063284E"/>
    <w:rsid w:val="0063792C"/>
    <w:rsid w:val="00637BBB"/>
    <w:rsid w:val="00657820"/>
    <w:rsid w:val="00664513"/>
    <w:rsid w:val="006804F6"/>
    <w:rsid w:val="006911DD"/>
    <w:rsid w:val="006B00ED"/>
    <w:rsid w:val="006C0BFC"/>
    <w:rsid w:val="006C72D4"/>
    <w:rsid w:val="006D2BE1"/>
    <w:rsid w:val="006D48AA"/>
    <w:rsid w:val="006D4CED"/>
    <w:rsid w:val="006E0961"/>
    <w:rsid w:val="006E0B27"/>
    <w:rsid w:val="006E153F"/>
    <w:rsid w:val="006F5002"/>
    <w:rsid w:val="00703F27"/>
    <w:rsid w:val="007061F8"/>
    <w:rsid w:val="00713306"/>
    <w:rsid w:val="007211AC"/>
    <w:rsid w:val="00724B17"/>
    <w:rsid w:val="00736FA7"/>
    <w:rsid w:val="007518BF"/>
    <w:rsid w:val="007525F7"/>
    <w:rsid w:val="00761DE9"/>
    <w:rsid w:val="007747D5"/>
    <w:rsid w:val="00795D00"/>
    <w:rsid w:val="00797BD6"/>
    <w:rsid w:val="007A5EF3"/>
    <w:rsid w:val="007B0D8B"/>
    <w:rsid w:val="007B3024"/>
    <w:rsid w:val="007C6ABF"/>
    <w:rsid w:val="007D1413"/>
    <w:rsid w:val="007D5292"/>
    <w:rsid w:val="007E71CB"/>
    <w:rsid w:val="007F0AB4"/>
    <w:rsid w:val="007F1FDD"/>
    <w:rsid w:val="0080658A"/>
    <w:rsid w:val="00812CEE"/>
    <w:rsid w:val="008667DA"/>
    <w:rsid w:val="0087602D"/>
    <w:rsid w:val="00884DA4"/>
    <w:rsid w:val="00890413"/>
    <w:rsid w:val="00892290"/>
    <w:rsid w:val="008937C4"/>
    <w:rsid w:val="0089455F"/>
    <w:rsid w:val="008A74E0"/>
    <w:rsid w:val="008B5B57"/>
    <w:rsid w:val="008B7824"/>
    <w:rsid w:val="008C0495"/>
    <w:rsid w:val="008C2D16"/>
    <w:rsid w:val="008D3C33"/>
    <w:rsid w:val="008D4FB3"/>
    <w:rsid w:val="008D5D51"/>
    <w:rsid w:val="009023AD"/>
    <w:rsid w:val="009051A2"/>
    <w:rsid w:val="00920028"/>
    <w:rsid w:val="009317B5"/>
    <w:rsid w:val="00932394"/>
    <w:rsid w:val="00941D8A"/>
    <w:rsid w:val="00947E19"/>
    <w:rsid w:val="00960800"/>
    <w:rsid w:val="00963F0A"/>
    <w:rsid w:val="00964D96"/>
    <w:rsid w:val="009729D0"/>
    <w:rsid w:val="009A30BF"/>
    <w:rsid w:val="009A55CF"/>
    <w:rsid w:val="009B5BBE"/>
    <w:rsid w:val="009E3C40"/>
    <w:rsid w:val="009F0D2E"/>
    <w:rsid w:val="00A06D04"/>
    <w:rsid w:val="00A07E02"/>
    <w:rsid w:val="00A15403"/>
    <w:rsid w:val="00A206A3"/>
    <w:rsid w:val="00A42193"/>
    <w:rsid w:val="00A42735"/>
    <w:rsid w:val="00A43486"/>
    <w:rsid w:val="00A53931"/>
    <w:rsid w:val="00A61D5D"/>
    <w:rsid w:val="00A776E4"/>
    <w:rsid w:val="00A779A9"/>
    <w:rsid w:val="00A90E82"/>
    <w:rsid w:val="00AB0741"/>
    <w:rsid w:val="00AB120A"/>
    <w:rsid w:val="00AB27AB"/>
    <w:rsid w:val="00AD39CB"/>
    <w:rsid w:val="00AF24AB"/>
    <w:rsid w:val="00B211E8"/>
    <w:rsid w:val="00B213E2"/>
    <w:rsid w:val="00B23060"/>
    <w:rsid w:val="00B2710C"/>
    <w:rsid w:val="00B348FF"/>
    <w:rsid w:val="00B53CA0"/>
    <w:rsid w:val="00B56CBD"/>
    <w:rsid w:val="00B6307E"/>
    <w:rsid w:val="00B6540A"/>
    <w:rsid w:val="00B740B0"/>
    <w:rsid w:val="00B83F54"/>
    <w:rsid w:val="00B95E8F"/>
    <w:rsid w:val="00BB23BE"/>
    <w:rsid w:val="00BB25FC"/>
    <w:rsid w:val="00BC540C"/>
    <w:rsid w:val="00BD3DC3"/>
    <w:rsid w:val="00BE2DED"/>
    <w:rsid w:val="00BE553B"/>
    <w:rsid w:val="00BE5F85"/>
    <w:rsid w:val="00BF77BB"/>
    <w:rsid w:val="00C0583A"/>
    <w:rsid w:val="00C20419"/>
    <w:rsid w:val="00C26CBE"/>
    <w:rsid w:val="00C31635"/>
    <w:rsid w:val="00C354C4"/>
    <w:rsid w:val="00C44118"/>
    <w:rsid w:val="00C64101"/>
    <w:rsid w:val="00C70452"/>
    <w:rsid w:val="00C7396E"/>
    <w:rsid w:val="00C75CAF"/>
    <w:rsid w:val="00C8465E"/>
    <w:rsid w:val="00C94A57"/>
    <w:rsid w:val="00CB4AFE"/>
    <w:rsid w:val="00CC3593"/>
    <w:rsid w:val="00CC7917"/>
    <w:rsid w:val="00CF79D3"/>
    <w:rsid w:val="00D00094"/>
    <w:rsid w:val="00D0767C"/>
    <w:rsid w:val="00D22651"/>
    <w:rsid w:val="00D22F91"/>
    <w:rsid w:val="00D25DD9"/>
    <w:rsid w:val="00D50F18"/>
    <w:rsid w:val="00D80C4C"/>
    <w:rsid w:val="00D9297C"/>
    <w:rsid w:val="00D9780F"/>
    <w:rsid w:val="00DB512C"/>
    <w:rsid w:val="00DC0798"/>
    <w:rsid w:val="00DC2E15"/>
    <w:rsid w:val="00DC3FCA"/>
    <w:rsid w:val="00DC54C6"/>
    <w:rsid w:val="00DD145B"/>
    <w:rsid w:val="00DD5A72"/>
    <w:rsid w:val="00DD69A0"/>
    <w:rsid w:val="00DE50E3"/>
    <w:rsid w:val="00DE518D"/>
    <w:rsid w:val="00E22AFF"/>
    <w:rsid w:val="00E2393B"/>
    <w:rsid w:val="00E3655B"/>
    <w:rsid w:val="00E5486E"/>
    <w:rsid w:val="00E55C27"/>
    <w:rsid w:val="00E56963"/>
    <w:rsid w:val="00E61FBE"/>
    <w:rsid w:val="00E6754C"/>
    <w:rsid w:val="00E76F88"/>
    <w:rsid w:val="00EA18E9"/>
    <w:rsid w:val="00EA4970"/>
    <w:rsid w:val="00EA7543"/>
    <w:rsid w:val="00EF500D"/>
    <w:rsid w:val="00F039CB"/>
    <w:rsid w:val="00F04B2C"/>
    <w:rsid w:val="00F07911"/>
    <w:rsid w:val="00F07E05"/>
    <w:rsid w:val="00F11B29"/>
    <w:rsid w:val="00F13070"/>
    <w:rsid w:val="00F20496"/>
    <w:rsid w:val="00F20EB4"/>
    <w:rsid w:val="00F21C61"/>
    <w:rsid w:val="00F24BC2"/>
    <w:rsid w:val="00F31539"/>
    <w:rsid w:val="00F467EE"/>
    <w:rsid w:val="00F47290"/>
    <w:rsid w:val="00F55882"/>
    <w:rsid w:val="00F7370E"/>
    <w:rsid w:val="00F814E2"/>
    <w:rsid w:val="00F929DA"/>
    <w:rsid w:val="00FB4451"/>
    <w:rsid w:val="00FC3CFA"/>
    <w:rsid w:val="00FE58C0"/>
    <w:rsid w:val="00F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AC8759"/>
  <w15:chartTrackingRefBased/>
  <w15:docId w15:val="{EDD20A39-CB72-431E-8DA7-2FF5DDB0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1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2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4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5F"/>
  </w:style>
  <w:style w:type="paragraph" w:styleId="Footer">
    <w:name w:val="footer"/>
    <w:basedOn w:val="Normal"/>
    <w:link w:val="FooterChar"/>
    <w:uiPriority w:val="99"/>
    <w:unhideWhenUsed/>
    <w:rsid w:val="00894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55F"/>
  </w:style>
  <w:style w:type="character" w:customStyle="1" w:styleId="Heading1Char">
    <w:name w:val="Heading 1 Char"/>
    <w:basedOn w:val="DefaultParagraphFont"/>
    <w:link w:val="Heading1"/>
    <w:uiPriority w:val="9"/>
    <w:rsid w:val="005F6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F2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F27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F21C61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E6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39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7396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D6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9A0"/>
    <w:rPr>
      <w:sz w:val="20"/>
      <w:szCs w:val="20"/>
    </w:rPr>
  </w:style>
  <w:style w:type="table" w:styleId="ListTable3-Accent2">
    <w:name w:val="List Table 3 Accent 2"/>
    <w:basedOn w:val="TableNormal"/>
    <w:uiPriority w:val="48"/>
    <w:rsid w:val="00DD69A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1F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61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61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61F8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C75C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75CAF"/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DC54C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ssica.Haynes@dhs.arkansas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Q4_kTl3hSk-tVdCZCqxmDn_UFobv2Q1Gj4YxqXbh6XVUQUxISlozWEY4Sk5VQkVHWFlEVlMwSUZaQy4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dicaid.gov/federal-policy-guidance/downloads/smd21003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dicaid.gov/sites/default/files/2019-12/a-synthesis-of-dsw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B52E50011D94B9538EC0978E0670A" ma:contentTypeVersion="14" ma:contentTypeDescription="Create a new document." ma:contentTypeScope="" ma:versionID="889d0ee3766e029eb50b71ee3889edf4">
  <xsd:schema xmlns:xsd="http://www.w3.org/2001/XMLSchema" xmlns:xs="http://www.w3.org/2001/XMLSchema" xmlns:p="http://schemas.microsoft.com/office/2006/metadata/properties" xmlns:ns2="e6e3c26a-e2ec-48b5-8709-56b5410b23af" xmlns:ns3="7f5d2143-1b0e-47af-b1d9-06826cb68f10" targetNamespace="http://schemas.microsoft.com/office/2006/metadata/properties" ma:root="true" ma:fieldsID="44334d0d01df4b684a26f371328f22a2" ns2:_="" ns3:_="">
    <xsd:import namespace="e6e3c26a-e2ec-48b5-8709-56b5410b23af"/>
    <xsd:import namespace="7f5d2143-1b0e-47af-b1d9-06826cb68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3c26a-e2ec-48b5-8709-56b5410b2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d2143-1b0e-47af-b1d9-06826cb68f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900B7-096C-41B8-8303-8BC3F36167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7EB86A-AA9A-4D26-9D48-A6839E5D13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1A770A-E013-4C9A-A5DE-ABC3FB158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3c26a-e2ec-48b5-8709-56b5410b23af"/>
    <ds:schemaRef ds:uri="7f5d2143-1b0e-47af-b1d9-06826cb68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B0D78E-DC01-4E10-94D1-402CAE928A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Links>
    <vt:vector size="18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mailto:Arpa9817-Provider-TA-Center@guidehouse.com</vt:lpwstr>
      </vt:variant>
      <vt:variant>
        <vt:lpwstr/>
      </vt:variant>
      <vt:variant>
        <vt:i4>3473460</vt:i4>
      </vt:variant>
      <vt:variant>
        <vt:i4>0</vt:i4>
      </vt:variant>
      <vt:variant>
        <vt:i4>0</vt:i4>
      </vt:variant>
      <vt:variant>
        <vt:i4>5</vt:i4>
      </vt:variant>
      <vt:variant>
        <vt:lpwstr>https://www.medicaid.gov/federal-policy-guidance/downloads/smd21003.pdf</vt:lpwstr>
      </vt:variant>
      <vt:variant>
        <vt:lpwstr/>
      </vt:variant>
      <vt:variant>
        <vt:i4>131181</vt:i4>
      </vt:variant>
      <vt:variant>
        <vt:i4>0</vt:i4>
      </vt:variant>
      <vt:variant>
        <vt:i4>0</vt:i4>
      </vt:variant>
      <vt:variant>
        <vt:i4>5</vt:i4>
      </vt:variant>
      <vt:variant>
        <vt:lpwstr>mailto:caroline.deneszczuk@guidehouse.com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Deneszczuk</dc:creator>
  <cp:keywords/>
  <dc:description/>
  <cp:lastModifiedBy>Colin Sperry</cp:lastModifiedBy>
  <cp:revision>2</cp:revision>
  <dcterms:created xsi:type="dcterms:W3CDTF">2024-10-08T20:25:00Z</dcterms:created>
  <dcterms:modified xsi:type="dcterms:W3CDTF">2024-10-08T20:25:00Z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0x010100CD2B52E50011D94B9538EC0978E0670A</vt:lpwstr>
  </property>
</Properties>
</file>